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B925" w14:textId="746EAAC6" w:rsidR="002842C9" w:rsidRPr="00AF5FBE" w:rsidRDefault="002842C9"/>
    <w:p w14:paraId="2E6DA1B3" w14:textId="77777777" w:rsidR="002842C9" w:rsidRPr="00AF5FBE" w:rsidRDefault="002842C9"/>
    <w:p w14:paraId="3EE12106" w14:textId="77777777" w:rsidR="002842C9" w:rsidRPr="00AF5FBE" w:rsidRDefault="002842C9"/>
    <w:p w14:paraId="5DBCCA94" w14:textId="77777777" w:rsidR="002842C9" w:rsidRPr="00AF5FBE" w:rsidRDefault="002842C9"/>
    <w:p w14:paraId="2EB48315" w14:textId="77777777" w:rsidR="002842C9" w:rsidRPr="009F44C6" w:rsidRDefault="002842C9">
      <w:pPr>
        <w:keepLines/>
        <w:pBdr>
          <w:top w:val="single" w:sz="6" w:space="0" w:color="000000"/>
          <w:left w:val="single" w:sz="6" w:space="0" w:color="000000"/>
          <w:bottom w:val="single" w:sz="6" w:space="0" w:color="000000"/>
          <w:right w:val="single" w:sz="6" w:space="0" w:color="000000"/>
          <w:between w:val="single" w:sz="6" w:space="0" w:color="000000"/>
        </w:pBdr>
        <w:shd w:val="pct10" w:color="auto" w:fill="auto"/>
        <w:jc w:val="center"/>
        <w:rPr>
          <w:b/>
          <w:lang w:val="it-IT"/>
        </w:rPr>
      </w:pPr>
      <w:r w:rsidRPr="009F44C6">
        <w:rPr>
          <w:b/>
        </w:rPr>
        <w:t xml:space="preserve">I M </w:t>
      </w:r>
      <w:proofErr w:type="spellStart"/>
      <w:r w:rsidRPr="009F44C6">
        <w:rPr>
          <w:b/>
        </w:rPr>
        <w:t>M</w:t>
      </w:r>
      <w:proofErr w:type="spellEnd"/>
      <w:r w:rsidRPr="009F44C6">
        <w:rPr>
          <w:b/>
        </w:rPr>
        <w:t xml:space="preserve"> O B I L I E N - S O N D E R V E R M Ö G E N</w:t>
      </w:r>
    </w:p>
    <w:p w14:paraId="5E158502" w14:textId="77777777" w:rsidR="002842C9" w:rsidRPr="009F44C6" w:rsidRDefault="002842C9">
      <w:pPr>
        <w:rPr>
          <w:b/>
          <w:lang w:val="it-IT"/>
        </w:rPr>
      </w:pPr>
    </w:p>
    <w:p w14:paraId="7A9C8965" w14:textId="77777777" w:rsidR="002842C9" w:rsidRPr="009F44C6" w:rsidRDefault="002842C9">
      <w:pPr>
        <w:rPr>
          <w:b/>
          <w:lang w:val="it-IT"/>
        </w:rPr>
      </w:pPr>
    </w:p>
    <w:p w14:paraId="624FE891" w14:textId="77777777" w:rsidR="002842C9" w:rsidRPr="009F44C6" w:rsidRDefault="002842C9">
      <w:pPr>
        <w:jc w:val="center"/>
        <w:rPr>
          <w:b/>
        </w:rPr>
      </w:pPr>
      <w:r w:rsidRPr="009F44C6">
        <w:rPr>
          <w:b/>
        </w:rPr>
        <w:t xml:space="preserve">ALLGEMEINE </w:t>
      </w:r>
      <w:r w:rsidR="003D4469" w:rsidRPr="009F44C6">
        <w:rPr>
          <w:b/>
        </w:rPr>
        <w:t>ANLAGEBEDINGUNGEN</w:t>
      </w:r>
    </w:p>
    <w:p w14:paraId="2E99ECB3" w14:textId="77777777" w:rsidR="002842C9" w:rsidRPr="009F44C6" w:rsidRDefault="002842C9">
      <w:pPr>
        <w:jc w:val="center"/>
        <w:rPr>
          <w:b/>
        </w:rPr>
      </w:pPr>
      <w:r w:rsidRPr="009F44C6">
        <w:rPr>
          <w:b/>
        </w:rPr>
        <w:t>FÜR</w:t>
      </w:r>
    </w:p>
    <w:p w14:paraId="621A69B0" w14:textId="77777777" w:rsidR="002842C9" w:rsidRPr="009F44C6" w:rsidRDefault="002842C9">
      <w:pPr>
        <w:jc w:val="center"/>
        <w:rPr>
          <w:b/>
        </w:rPr>
      </w:pPr>
      <w:r w:rsidRPr="009F44C6">
        <w:rPr>
          <w:b/>
        </w:rPr>
        <w:t>IMMOBILIEN-SONDERVERMÖGEN</w:t>
      </w:r>
    </w:p>
    <w:p w14:paraId="2A557CE6" w14:textId="77777777" w:rsidR="00D56F59" w:rsidRPr="009F44C6" w:rsidRDefault="00D56F59" w:rsidP="00207C5F">
      <w:pPr>
        <w:rPr>
          <w:b/>
        </w:rPr>
      </w:pPr>
    </w:p>
    <w:p w14:paraId="2CA555FA" w14:textId="77777777" w:rsidR="002842C9" w:rsidRPr="009F44C6" w:rsidRDefault="002842C9">
      <w:pPr>
        <w:rPr>
          <w:b/>
        </w:rPr>
      </w:pPr>
    </w:p>
    <w:p w14:paraId="5DE02A2A" w14:textId="77777777" w:rsidR="003D4469" w:rsidRPr="009F44C6" w:rsidRDefault="00AF17B0">
      <w:pPr>
        <w:rPr>
          <w:b/>
        </w:rPr>
      </w:pPr>
      <w:r w:rsidRPr="009F44C6">
        <w:rPr>
          <w:b/>
        </w:rPr>
        <w:br w:type="page"/>
      </w:r>
    </w:p>
    <w:p w14:paraId="7BBE7EFF" w14:textId="77777777" w:rsidR="003D4469" w:rsidRPr="009F44C6" w:rsidRDefault="003D4469" w:rsidP="005B7B2C">
      <w:pPr>
        <w:jc w:val="left"/>
        <w:rPr>
          <w:b/>
        </w:rPr>
      </w:pPr>
      <w:r w:rsidRPr="009F44C6">
        <w:rPr>
          <w:b/>
        </w:rPr>
        <w:lastRenderedPageBreak/>
        <w:t>Disclaimer:</w:t>
      </w:r>
    </w:p>
    <w:p w14:paraId="561AF27F" w14:textId="77777777" w:rsidR="003D4469" w:rsidRPr="009F44C6" w:rsidRDefault="003D4469" w:rsidP="00EC2195">
      <w:pPr>
        <w:spacing w:line="480" w:lineRule="auto"/>
      </w:pPr>
      <w:r w:rsidRPr="009F44C6">
        <w:t>Die nachstehenden Muster-Anlagebedingungen, darin enthaltene Musterbausteine, Erläuterungen und Formulierungen orientieren sich an den gesetzlichen Vorgaben des KAGB.</w:t>
      </w:r>
    </w:p>
    <w:p w14:paraId="62D5E7B3" w14:textId="77777777" w:rsidR="003D4469" w:rsidRPr="009F44C6" w:rsidRDefault="003D4469" w:rsidP="00EC2195">
      <w:pPr>
        <w:spacing w:line="480" w:lineRule="auto"/>
      </w:pPr>
      <w:r w:rsidRPr="009F44C6">
        <w:t xml:space="preserve">Sie sind vom BVI und seinen zuständigen Gremien erarbeitet und mit der BaFin </w:t>
      </w:r>
      <w:r w:rsidR="00B937D1" w:rsidRPr="009F44C6">
        <w:t xml:space="preserve">unter aufsichtsrechtlichen Gesichtspunkten (und insbesondere nicht unter steuerrechtlichen Gesichtspunkten) </w:t>
      </w:r>
      <w:r w:rsidRPr="009F44C6">
        <w:t xml:space="preserve">abgestimmt worden. Sie stellen eine Orientierungshilfe dar und sind nicht verbindlich; so können sie etwa in Reihenfolge, Formulierung und Inhalt geändert werden. Der Verwender ist gehalten, die Muster-Anlagebedingungen für seine individuelle </w:t>
      </w:r>
      <w:r w:rsidR="00DA1C10" w:rsidRPr="009F44C6">
        <w:t>Nutzung genau zu prüfen und ggf</w:t>
      </w:r>
      <w:r w:rsidRPr="009F44C6">
        <w:t>. entsprechend anzupassen.</w:t>
      </w:r>
    </w:p>
    <w:p w14:paraId="432697A4" w14:textId="77777777" w:rsidR="003D4469" w:rsidRPr="009F44C6" w:rsidRDefault="003D4469" w:rsidP="00EC2195">
      <w:pPr>
        <w:spacing w:line="480" w:lineRule="auto"/>
      </w:pPr>
      <w:r w:rsidRPr="009F44C6">
        <w:t>Die Muster-Anlagebedingungen wurden mit größtmöglicher Sorgfalt erstellt. Da ggfs. anderslautende Rechtsauffassungen oder Fehler nicht ausgeschlossen werden können, erheben die Formulierungsvorschläge der Muster-Anlagebedingungen keinen Anspruch auf uneingeschränkte Rechtsgültigkeit.</w:t>
      </w:r>
    </w:p>
    <w:p w14:paraId="3A9451B5" w14:textId="77777777" w:rsidR="003D4469" w:rsidRPr="009F44C6" w:rsidRDefault="003D4469" w:rsidP="00EC2195">
      <w:pPr>
        <w:spacing w:line="480" w:lineRule="auto"/>
        <w:rPr>
          <w:b/>
        </w:rPr>
      </w:pPr>
      <w:r w:rsidRPr="009F44C6">
        <w:rPr>
          <w:b/>
        </w:rPr>
        <w:t>Der BVI übernimmt keine Haftung für den Inhalt der vorliegenden Muster-Anlagebedingungen.</w:t>
      </w:r>
    </w:p>
    <w:p w14:paraId="670F7281" w14:textId="77777777" w:rsidR="002842C9" w:rsidRPr="009F44C6" w:rsidRDefault="002842C9" w:rsidP="005B7B2C">
      <w:pPr>
        <w:rPr>
          <w:b/>
        </w:rPr>
        <w:sectPr w:rsidR="002842C9" w:rsidRPr="009F44C6">
          <w:headerReference w:type="default" r:id="rId8"/>
          <w:footerReference w:type="default" r:id="rId9"/>
          <w:pgSz w:w="11906" w:h="16838"/>
          <w:pgMar w:top="2269" w:right="2550" w:bottom="2268" w:left="1418" w:header="720" w:footer="720" w:gutter="0"/>
          <w:pgNumType w:start="1"/>
          <w:cols w:space="720"/>
        </w:sectPr>
      </w:pPr>
    </w:p>
    <w:p w14:paraId="56A8B254" w14:textId="77777777" w:rsidR="002842C9" w:rsidRPr="009F44C6" w:rsidRDefault="002842C9">
      <w:pPr>
        <w:spacing w:before="240"/>
      </w:pPr>
    </w:p>
    <w:p w14:paraId="20CE16D6" w14:textId="77777777" w:rsidR="002842C9" w:rsidRPr="009F44C6" w:rsidRDefault="002842C9">
      <w:pPr>
        <w:jc w:val="center"/>
        <w:rPr>
          <w:b/>
        </w:rPr>
      </w:pPr>
      <w:r w:rsidRPr="009F44C6">
        <w:rPr>
          <w:b/>
        </w:rPr>
        <w:t xml:space="preserve">Allgemeine </w:t>
      </w:r>
      <w:r w:rsidR="003D4469" w:rsidRPr="009F44C6">
        <w:rPr>
          <w:b/>
        </w:rPr>
        <w:t>Anlagebedingungen</w:t>
      </w:r>
      <w:r w:rsidR="003D4469" w:rsidRPr="009F44C6">
        <w:t xml:space="preserve"> </w:t>
      </w:r>
    </w:p>
    <w:p w14:paraId="1D4ECCD0" w14:textId="77777777" w:rsidR="002842C9" w:rsidRPr="009F44C6" w:rsidRDefault="002842C9" w:rsidP="00287EFB">
      <w:pPr>
        <w:spacing w:after="240"/>
        <w:jc w:val="center"/>
      </w:pPr>
      <w:r w:rsidRPr="009F44C6">
        <w:t xml:space="preserve">zur Regelung des Rechtsverhältnisses zwischen </w:t>
      </w:r>
    </w:p>
    <w:p w14:paraId="7313FC76" w14:textId="77777777" w:rsidR="002842C9" w:rsidRPr="009F44C6" w:rsidRDefault="002842C9" w:rsidP="00287EFB">
      <w:pPr>
        <w:spacing w:after="240"/>
        <w:jc w:val="center"/>
      </w:pPr>
      <w:r w:rsidRPr="009F44C6">
        <w:t xml:space="preserve">den Anlegern und </w:t>
      </w:r>
    </w:p>
    <w:p w14:paraId="60C91DD9" w14:textId="77777777" w:rsidR="002842C9" w:rsidRPr="009F44C6" w:rsidRDefault="002842C9" w:rsidP="00287EFB">
      <w:pPr>
        <w:spacing w:after="240"/>
        <w:jc w:val="center"/>
        <w:rPr>
          <w:b/>
        </w:rPr>
      </w:pPr>
      <w:r w:rsidRPr="009F44C6">
        <w:t>der ............................., (Sitz),</w:t>
      </w:r>
    </w:p>
    <w:p w14:paraId="1E8AE5BA" w14:textId="77777777" w:rsidR="002842C9" w:rsidRPr="009F44C6" w:rsidRDefault="002842C9" w:rsidP="00287EFB">
      <w:pPr>
        <w:spacing w:after="240"/>
        <w:jc w:val="center"/>
      </w:pPr>
      <w:r w:rsidRPr="009F44C6">
        <w:t xml:space="preserve">("Gesellschaft") </w:t>
      </w:r>
    </w:p>
    <w:p w14:paraId="519BC685" w14:textId="77777777" w:rsidR="002842C9" w:rsidRPr="009F44C6" w:rsidRDefault="002842C9" w:rsidP="00287EFB">
      <w:pPr>
        <w:spacing w:after="240"/>
        <w:jc w:val="center"/>
      </w:pPr>
      <w:r w:rsidRPr="009F44C6">
        <w:t xml:space="preserve">für die von der Gesellschaft </w:t>
      </w:r>
      <w:r w:rsidR="003A3C2A" w:rsidRPr="009F44C6">
        <w:t xml:space="preserve">verwalteten </w:t>
      </w:r>
    </w:p>
    <w:p w14:paraId="601BADC3" w14:textId="77777777" w:rsidR="002842C9" w:rsidRPr="009F44C6" w:rsidRDefault="002842C9" w:rsidP="00287EFB">
      <w:pPr>
        <w:spacing w:after="240"/>
        <w:jc w:val="center"/>
      </w:pPr>
      <w:r w:rsidRPr="009F44C6">
        <w:t xml:space="preserve">Immobilien-Sondervermögen, die nur in Verbindung </w:t>
      </w:r>
    </w:p>
    <w:p w14:paraId="20E5FCB1" w14:textId="77777777" w:rsidR="002842C9" w:rsidRPr="009F44C6" w:rsidRDefault="002842C9" w:rsidP="00287EFB">
      <w:pPr>
        <w:spacing w:after="240"/>
        <w:jc w:val="center"/>
      </w:pPr>
      <w:r w:rsidRPr="009F44C6">
        <w:t xml:space="preserve">mit den für das jeweilige </w:t>
      </w:r>
      <w:r w:rsidR="00E741CE" w:rsidRPr="009F44C6">
        <w:t>Sondervermögen</w:t>
      </w:r>
      <w:r w:rsidRPr="009F44C6">
        <w:t xml:space="preserve"> </w:t>
      </w:r>
    </w:p>
    <w:p w14:paraId="321BC687" w14:textId="77777777" w:rsidR="002842C9" w:rsidRPr="009F44C6" w:rsidRDefault="002842C9" w:rsidP="00287EFB">
      <w:pPr>
        <w:spacing w:after="240"/>
        <w:jc w:val="center"/>
      </w:pPr>
      <w:r w:rsidRPr="009F44C6">
        <w:t xml:space="preserve">aufgestellten Besonderen </w:t>
      </w:r>
      <w:r w:rsidR="003D4469" w:rsidRPr="009F44C6">
        <w:t>Anlagebedingungen</w:t>
      </w:r>
      <w:r w:rsidRPr="009F44C6">
        <w:t xml:space="preserve"> </w:t>
      </w:r>
    </w:p>
    <w:p w14:paraId="6E9BF3AB" w14:textId="77777777" w:rsidR="002842C9" w:rsidRPr="009F44C6" w:rsidRDefault="002842C9" w:rsidP="00287EFB">
      <w:pPr>
        <w:spacing w:after="240"/>
        <w:jc w:val="center"/>
      </w:pPr>
      <w:r w:rsidRPr="009F44C6">
        <w:t>gelten.</w:t>
      </w:r>
    </w:p>
    <w:p w14:paraId="6FDFE406" w14:textId="77777777" w:rsidR="00F53A3E" w:rsidRPr="009F44C6" w:rsidRDefault="00F53A3E" w:rsidP="00DC591D">
      <w:pPr>
        <w:pBdr>
          <w:top w:val="single" w:sz="4" w:space="1" w:color="auto"/>
          <w:left w:val="single" w:sz="4" w:space="4" w:color="auto"/>
          <w:bottom w:val="single" w:sz="4" w:space="1" w:color="auto"/>
          <w:right w:val="single" w:sz="4" w:space="4" w:color="auto"/>
        </w:pBdr>
        <w:shd w:val="clear" w:color="auto" w:fill="D9D9D9"/>
      </w:pPr>
      <w:r w:rsidRPr="009F44C6">
        <w:t>Bearbeiterhinweis:</w:t>
      </w:r>
    </w:p>
    <w:p w14:paraId="7B3BB296" w14:textId="77777777" w:rsidR="00F53A3E" w:rsidRPr="009F44C6" w:rsidRDefault="00F53A3E" w:rsidP="00DC591D">
      <w:pPr>
        <w:pBdr>
          <w:top w:val="single" w:sz="4" w:space="1" w:color="auto"/>
          <w:left w:val="single" w:sz="4" w:space="4" w:color="auto"/>
          <w:bottom w:val="single" w:sz="4" w:space="1" w:color="auto"/>
          <w:right w:val="single" w:sz="4" w:space="4" w:color="auto"/>
        </w:pBdr>
        <w:shd w:val="clear" w:color="auto" w:fill="D9D9D9"/>
      </w:pPr>
      <w:r w:rsidRPr="009F44C6">
        <w:t xml:space="preserve">Sofern die Kapitalverwaltungsgesellschaft </w:t>
      </w:r>
      <w:r w:rsidR="00F841C6" w:rsidRPr="009F44C6">
        <w:t xml:space="preserve">Immobilien-Sondervermögen verwaltet, die </w:t>
      </w:r>
      <w:r w:rsidR="000269A6" w:rsidRPr="009F44C6">
        <w:t xml:space="preserve">durch die Kapitalverwaltungsgesellschaft </w:t>
      </w:r>
      <w:r w:rsidRPr="009F44C6">
        <w:t xml:space="preserve">sowohl </w:t>
      </w:r>
      <w:r w:rsidRPr="009F44C6">
        <w:rPr>
          <w:b/>
        </w:rPr>
        <w:t>vor</w:t>
      </w:r>
      <w:r w:rsidRPr="009F44C6">
        <w:t xml:space="preserve"> dem 22.7.2013 als auch </w:t>
      </w:r>
      <w:r w:rsidRPr="009F44C6">
        <w:rPr>
          <w:b/>
        </w:rPr>
        <w:t>nach</w:t>
      </w:r>
      <w:r w:rsidR="000269A6" w:rsidRPr="009F44C6">
        <w:t xml:space="preserve"> dem 21</w:t>
      </w:r>
      <w:r w:rsidRPr="009F44C6">
        <w:t>.7.2013 aufgeleg</w:t>
      </w:r>
      <w:r w:rsidR="00F841C6" w:rsidRPr="009F44C6">
        <w:t xml:space="preserve">t wurden bzw. aufgelegt werden, ist wegen der unterschiedlichen Freibetragsregelungen </w:t>
      </w:r>
      <w:r w:rsidRPr="009F44C6">
        <w:t xml:space="preserve">die Verwendung unterschiedlicher Allgemeiner Anlagebedingungen zu empfehlen. </w:t>
      </w:r>
      <w:r w:rsidR="00F841C6" w:rsidRPr="009F44C6">
        <w:t>Für diesen Fall ist die Präambel wie folgt zu formulieren:</w:t>
      </w:r>
    </w:p>
    <w:p w14:paraId="3C3F20CC" w14:textId="77777777" w:rsidR="00F841C6" w:rsidRPr="009F44C6" w:rsidRDefault="00F841C6" w:rsidP="00DC591D">
      <w:pPr>
        <w:pBdr>
          <w:top w:val="single" w:sz="4" w:space="1" w:color="auto"/>
          <w:left w:val="single" w:sz="4" w:space="4" w:color="auto"/>
          <w:bottom w:val="single" w:sz="4" w:space="1" w:color="auto"/>
          <w:right w:val="single" w:sz="4" w:space="4" w:color="auto"/>
        </w:pBdr>
        <w:shd w:val="clear" w:color="auto" w:fill="D9D9D9"/>
        <w:rPr>
          <w:b/>
        </w:rPr>
      </w:pPr>
      <w:r w:rsidRPr="009F44C6">
        <w:rPr>
          <w:b/>
        </w:rPr>
        <w:t>„(…) für das von der Gesellschaft verwaltete Immobilien-Sondervermögen &lt;Name des Fonds&gt; (…).</w:t>
      </w:r>
    </w:p>
    <w:p w14:paraId="5CDA1922" w14:textId="77777777" w:rsidR="002842C9" w:rsidRPr="009F44C6" w:rsidRDefault="002842C9">
      <w:pPr>
        <w:jc w:val="center"/>
        <w:rPr>
          <w:b/>
        </w:rPr>
      </w:pPr>
      <w:r w:rsidRPr="009F44C6">
        <w:rPr>
          <w:b/>
        </w:rPr>
        <w:br w:type="page"/>
      </w:r>
      <w:r w:rsidRPr="009F44C6">
        <w:rPr>
          <w:b/>
        </w:rPr>
        <w:lastRenderedPageBreak/>
        <w:t>§ 1 Grundlagen</w:t>
      </w:r>
    </w:p>
    <w:p w14:paraId="36032430" w14:textId="77777777" w:rsidR="000615C4" w:rsidRPr="009F44C6" w:rsidRDefault="008743E9" w:rsidP="008743E9">
      <w:r w:rsidRPr="009F44C6">
        <w:t xml:space="preserve">1. </w:t>
      </w:r>
      <w:r w:rsidR="002842C9" w:rsidRPr="009F44C6">
        <w:t xml:space="preserve">Die Gesellschaft ist eine </w:t>
      </w:r>
      <w:r w:rsidR="009D76B6" w:rsidRPr="009F44C6">
        <w:t>AIF-</w:t>
      </w:r>
      <w:r w:rsidR="003D4469" w:rsidRPr="009F44C6">
        <w:t xml:space="preserve">Kapitalverwaltungsgesellschaft </w:t>
      </w:r>
      <w:r w:rsidR="009D76B6" w:rsidRPr="009F44C6">
        <w:t xml:space="preserve">(„Kapitalverwaltungsgesellschaft“) </w:t>
      </w:r>
      <w:r w:rsidR="00EC2DDC" w:rsidRPr="009F44C6">
        <w:t>und unterliegt den Vor</w:t>
      </w:r>
      <w:r w:rsidR="002842C9" w:rsidRPr="009F44C6">
        <w:t xml:space="preserve">schriften des </w:t>
      </w:r>
      <w:r w:rsidR="003D4469" w:rsidRPr="009F44C6">
        <w:t>Kapitalanlagegesetzbuchs (</w:t>
      </w:r>
      <w:r w:rsidR="00ED1E50" w:rsidRPr="009F44C6">
        <w:t>„</w:t>
      </w:r>
      <w:r w:rsidR="003D4469" w:rsidRPr="009F44C6">
        <w:t>KAGB</w:t>
      </w:r>
      <w:r w:rsidR="00ED1E50" w:rsidRPr="009F44C6">
        <w:t>“</w:t>
      </w:r>
      <w:r w:rsidR="003D4469" w:rsidRPr="009F44C6">
        <w:t>)</w:t>
      </w:r>
      <w:r w:rsidR="002842C9" w:rsidRPr="009F44C6">
        <w:t>.</w:t>
      </w:r>
    </w:p>
    <w:p w14:paraId="3190226D" w14:textId="6A1B0AE6" w:rsidR="00247A20" w:rsidRDefault="002842C9" w:rsidP="005F7E4A">
      <w:r w:rsidRPr="009F44C6">
        <w:t xml:space="preserve">2. </w:t>
      </w:r>
      <w:r w:rsidR="00B913A2" w:rsidRPr="009F44C6">
        <w:t>D</w:t>
      </w:r>
      <w:r w:rsidRPr="009F44C6">
        <w:t xml:space="preserve">ie </w:t>
      </w:r>
      <w:r w:rsidR="00A401E7" w:rsidRPr="009F44C6">
        <w:t xml:space="preserve">Gesellschaft </w:t>
      </w:r>
      <w:r w:rsidRPr="009F44C6">
        <w:t xml:space="preserve">legt </w:t>
      </w:r>
      <w:r w:rsidR="00B913A2" w:rsidRPr="009F44C6">
        <w:t xml:space="preserve">das </w:t>
      </w:r>
      <w:r w:rsidRPr="009F44C6">
        <w:t xml:space="preserve">bei ihr eingelegte Geld im eigenen Namen für gemeinschaftliche Rechnung der Anleger nach dem Grundsatz der Risikomischung in den nach dem </w:t>
      </w:r>
      <w:r w:rsidR="00A401E7" w:rsidRPr="009F44C6">
        <w:t xml:space="preserve">KAGB </w:t>
      </w:r>
      <w:r w:rsidRPr="009F44C6">
        <w:t xml:space="preserve">zugelassenen Vermögensgegenständen gesondert vom eigenen Vermögen in Form </w:t>
      </w:r>
      <w:r w:rsidR="000F4196" w:rsidRPr="009F44C6">
        <w:t xml:space="preserve">eines </w:t>
      </w:r>
      <w:r w:rsidR="002316DB" w:rsidRPr="009F44C6">
        <w:t>Immobilien-</w:t>
      </w:r>
      <w:r w:rsidRPr="009F44C6">
        <w:t>Sondervermögen</w:t>
      </w:r>
      <w:r w:rsidR="000F4196" w:rsidRPr="009F44C6">
        <w:t>s („Sondervermögen“)</w:t>
      </w:r>
      <w:r w:rsidRPr="009F44C6">
        <w:t xml:space="preserve"> an. Über die hie</w:t>
      </w:r>
      <w:r w:rsidR="00B04D32" w:rsidRPr="009F44C6">
        <w:t>raus sich erge</w:t>
      </w:r>
      <w:r w:rsidRPr="009F44C6">
        <w:t xml:space="preserve">benden Rechte der Anleger werden von ihr </w:t>
      </w:r>
      <w:r w:rsidR="00F4584C" w:rsidRPr="009F44C6">
        <w:t>Sammelu</w:t>
      </w:r>
      <w:r w:rsidRPr="009F44C6">
        <w:t xml:space="preserve">rkunden </w:t>
      </w:r>
      <w:r w:rsidR="00B04D32" w:rsidRPr="009F44C6">
        <w:t>aus</w:t>
      </w:r>
      <w:r w:rsidRPr="009F44C6">
        <w:t>gestellt</w:t>
      </w:r>
      <w:r w:rsidR="009E1BFD">
        <w:t xml:space="preserve"> </w:t>
      </w:r>
      <w:r w:rsidR="009E1BFD" w:rsidRPr="0069163A">
        <w:t>oder als elektronische Anteilscheine begeben</w:t>
      </w:r>
      <w:r w:rsidRPr="0069163A">
        <w:t>.</w:t>
      </w:r>
      <w:r w:rsidR="005A0D97">
        <w:t xml:space="preserve"> </w:t>
      </w:r>
    </w:p>
    <w:p w14:paraId="0185730A" w14:textId="77777777" w:rsidR="005F7E4A" w:rsidRPr="009F44C6" w:rsidRDefault="00D546A6" w:rsidP="005F7E4A">
      <w:r>
        <w:t xml:space="preserve">[optional: </w:t>
      </w:r>
      <w:r w:rsidR="00271A93" w:rsidRPr="009F44C6">
        <w:rPr>
          <w:rFonts w:cs="Arial"/>
        </w:rPr>
        <w:t xml:space="preserve">Der Geschäftszweck des Sondervermögens ist auf die Kapitalanlage gemäß einer festgelegten Anlagestrategie im Rahmen einer kollektiven Vermögensverwaltung mittels der bei ihm eingelegten Mittel beschränkt; eine operative Tätigkeit und eine aktive unternehmerische Bewirtschaftung der gehaltenen Vermögensgegenstände </w:t>
      </w:r>
      <w:proofErr w:type="gramStart"/>
      <w:r w:rsidR="00271A93" w:rsidRPr="009F44C6">
        <w:rPr>
          <w:rFonts w:cs="Arial"/>
        </w:rPr>
        <w:t>ist</w:t>
      </w:r>
      <w:proofErr w:type="gramEnd"/>
      <w:r w:rsidR="00271A93" w:rsidRPr="009F44C6">
        <w:rPr>
          <w:rFonts w:cs="Arial"/>
        </w:rPr>
        <w:t xml:space="preserve"> ausgeschlossen.</w:t>
      </w:r>
      <w:r w:rsidR="005F7E4A" w:rsidRPr="009F44C6">
        <w:t xml:space="preserve"> </w:t>
      </w:r>
      <w:r w:rsidR="00247A20">
        <w:t>E</w:t>
      </w:r>
      <w:r w:rsidR="005F7E4A" w:rsidRPr="009F44C6">
        <w:t xml:space="preserve">ine aktive unternehmerische Bewirtschaftung bei Beteiligungen an Immobilien-Gesellschaften im Sinne des § 1 Absatz 19 Nummer 22 KAGB </w:t>
      </w:r>
      <w:r w:rsidR="00247A20">
        <w:t xml:space="preserve">ist </w:t>
      </w:r>
      <w:r w:rsidR="00970DB3" w:rsidRPr="009F44C6">
        <w:t>zulässig</w:t>
      </w:r>
      <w:r w:rsidR="005F7E4A" w:rsidRPr="009F44C6">
        <w:t>.</w:t>
      </w:r>
      <w:r w:rsidR="00247A20">
        <w:t>]</w:t>
      </w:r>
    </w:p>
    <w:p w14:paraId="779AE606" w14:textId="77777777" w:rsidR="002842C9" w:rsidRPr="009F44C6" w:rsidRDefault="00850252">
      <w:r w:rsidRPr="009F44C6">
        <w:t>3</w:t>
      </w:r>
      <w:r w:rsidR="002842C9" w:rsidRPr="009F44C6">
        <w:t xml:space="preserve">. Die Vermögensgegenstände </w:t>
      </w:r>
      <w:r w:rsidR="002316DB" w:rsidRPr="009F44C6">
        <w:t xml:space="preserve">des Sondervermögens </w:t>
      </w:r>
      <w:r w:rsidR="002842C9" w:rsidRPr="009F44C6">
        <w:t>stehen im Eigentum der Gesellschaft.</w:t>
      </w:r>
    </w:p>
    <w:p w14:paraId="0C777882" w14:textId="77777777" w:rsidR="002842C9" w:rsidRPr="009F44C6" w:rsidRDefault="00FD3F36">
      <w:r w:rsidRPr="009F44C6">
        <w:t>4</w:t>
      </w:r>
      <w:r w:rsidR="002842C9" w:rsidRPr="009F44C6">
        <w:t>. Grundstücke, Erbbaurechte sowie Rechte in der Form des Wohnungseigen</w:t>
      </w:r>
      <w:r w:rsidR="002842C9" w:rsidRPr="009F44C6">
        <w:softHyphen/>
        <w:t xml:space="preserve">tums, Teileigentums, Wohnungserbbaurechts und Teilerbbaurechts </w:t>
      </w:r>
      <w:r w:rsidR="00BD7E5E" w:rsidRPr="009F44C6">
        <w:t xml:space="preserve">sowie Nießbrauchrechte an Grundstücken </w:t>
      </w:r>
      <w:r w:rsidR="002842C9" w:rsidRPr="009F44C6">
        <w:t xml:space="preserve">werden </w:t>
      </w:r>
      <w:r w:rsidR="000E654E" w:rsidRPr="009F44C6">
        <w:t xml:space="preserve">in den Allgemeinen </w:t>
      </w:r>
      <w:r w:rsidR="006567CF" w:rsidRPr="009F44C6">
        <w:t>Anlagebedingungen</w:t>
      </w:r>
      <w:r w:rsidR="009B5A3C" w:rsidRPr="009F44C6">
        <w:t xml:space="preserve"> </w:t>
      </w:r>
      <w:r w:rsidR="000E654E" w:rsidRPr="009F44C6">
        <w:t xml:space="preserve">und Besonderen </w:t>
      </w:r>
      <w:r w:rsidR="006567CF" w:rsidRPr="009F44C6">
        <w:t>Anlagebedingungen</w:t>
      </w:r>
      <w:r w:rsidR="002842C9" w:rsidRPr="009F44C6">
        <w:t xml:space="preserve"> </w:t>
      </w:r>
      <w:r w:rsidR="009313B4" w:rsidRPr="009F44C6">
        <w:t xml:space="preserve">(„Anlagebedingungen“) </w:t>
      </w:r>
      <w:r w:rsidR="002842C9" w:rsidRPr="009F44C6">
        <w:t>unter dem Begriff Immobilien zusammengefasst.</w:t>
      </w:r>
    </w:p>
    <w:p w14:paraId="5E56C9B3" w14:textId="77777777" w:rsidR="002842C9" w:rsidRDefault="00FD3F36" w:rsidP="00F81D58">
      <w:pPr>
        <w:spacing w:after="480"/>
      </w:pPr>
      <w:r w:rsidRPr="009F44C6">
        <w:t>5</w:t>
      </w:r>
      <w:r w:rsidR="00E43403" w:rsidRPr="009F44C6">
        <w:t xml:space="preserve">. </w:t>
      </w:r>
      <w:r w:rsidR="002A03AF" w:rsidRPr="009F44C6">
        <w:t xml:space="preserve">Das Rechtsverhältnis zwischen </w:t>
      </w:r>
      <w:r w:rsidR="00E741CE" w:rsidRPr="009F44C6">
        <w:t xml:space="preserve">der </w:t>
      </w:r>
      <w:r w:rsidR="00A401E7" w:rsidRPr="009F44C6">
        <w:t xml:space="preserve">Gesellschaft </w:t>
      </w:r>
      <w:r w:rsidR="002A03AF" w:rsidRPr="009F44C6">
        <w:t xml:space="preserve">und dem Anleger richtet sich nach </w:t>
      </w:r>
      <w:r w:rsidR="006567CF" w:rsidRPr="009F44C6">
        <w:t xml:space="preserve">den </w:t>
      </w:r>
      <w:r w:rsidR="004E4292" w:rsidRPr="009F44C6">
        <w:t>Anlagebedingungen</w:t>
      </w:r>
      <w:r w:rsidR="00713573" w:rsidRPr="009F44C6" w:rsidDel="00713573">
        <w:t xml:space="preserve"> </w:t>
      </w:r>
      <w:r w:rsidR="006567CF" w:rsidRPr="009F44C6">
        <w:t>und dem KAGB.</w:t>
      </w:r>
    </w:p>
    <w:p w14:paraId="77F5FFD3" w14:textId="77777777" w:rsidR="002842C9" w:rsidRPr="009F44C6" w:rsidRDefault="002842C9" w:rsidP="00F81D58">
      <w:pPr>
        <w:jc w:val="center"/>
        <w:rPr>
          <w:b/>
        </w:rPr>
      </w:pPr>
      <w:r w:rsidRPr="009F44C6">
        <w:rPr>
          <w:b/>
        </w:rPr>
        <w:lastRenderedPageBreak/>
        <w:t xml:space="preserve">§ 2 </w:t>
      </w:r>
      <w:r w:rsidR="00700F0D" w:rsidRPr="009F44C6">
        <w:rPr>
          <w:b/>
        </w:rPr>
        <w:t>Verwahrstelle</w:t>
      </w:r>
    </w:p>
    <w:p w14:paraId="3364453A" w14:textId="77777777" w:rsidR="002842C9" w:rsidRPr="009F44C6" w:rsidRDefault="002842C9">
      <w:r w:rsidRPr="009F44C6">
        <w:t xml:space="preserve">1. Die Gesellschaft bestellt </w:t>
      </w:r>
      <w:r w:rsidR="009D76B6" w:rsidRPr="009F44C6">
        <w:t xml:space="preserve">für das Immobilien-Sondervermögen </w:t>
      </w:r>
      <w:r w:rsidR="001354B2" w:rsidRPr="009F44C6">
        <w:t xml:space="preserve">eine Einrichtung im Sinne des § 80 Absatz 2 KAGB </w:t>
      </w:r>
      <w:r w:rsidRPr="009F44C6">
        <w:t xml:space="preserve">als </w:t>
      </w:r>
      <w:r w:rsidR="00700F0D" w:rsidRPr="009F44C6">
        <w:t>Verwahrstelle</w:t>
      </w:r>
      <w:r w:rsidRPr="009F44C6">
        <w:t xml:space="preserve">; die </w:t>
      </w:r>
      <w:r w:rsidR="00700F0D" w:rsidRPr="009F44C6">
        <w:t xml:space="preserve">Verwahrstelle </w:t>
      </w:r>
      <w:r w:rsidRPr="009F44C6">
        <w:t>handelt unabhängig von der Gesellschaft und ausschließlich im Interesse der Anleger.</w:t>
      </w:r>
    </w:p>
    <w:p w14:paraId="28C09A6A" w14:textId="77777777" w:rsidR="002842C9" w:rsidRPr="009F44C6" w:rsidRDefault="002842C9">
      <w:r w:rsidRPr="009F44C6">
        <w:t xml:space="preserve">2. </w:t>
      </w:r>
      <w:r w:rsidR="0056309D" w:rsidRPr="009F44C6">
        <w:t xml:space="preserve">Die </w:t>
      </w:r>
      <w:r w:rsidR="001354B2" w:rsidRPr="009F44C6">
        <w:t xml:space="preserve">Aufgaben und Pflichten der Verwahrstelle richten sich nach dem mit der Gesellschaft geschlossenen Verwahrstellenvertrag, dem KAGB und </w:t>
      </w:r>
      <w:r w:rsidR="00C74F54" w:rsidRPr="009F44C6">
        <w:t>den Anlagebedingungen des Sondervermögens</w:t>
      </w:r>
      <w:r w:rsidR="001354B2" w:rsidRPr="009F44C6">
        <w:t>.</w:t>
      </w:r>
    </w:p>
    <w:p w14:paraId="7FF08DE6" w14:textId="77777777" w:rsidR="001354B2" w:rsidRPr="009F44C6" w:rsidRDefault="00700F0D" w:rsidP="001354B2">
      <w:r w:rsidRPr="009F44C6">
        <w:t>3. Die Verwahrstelle kann Verwahraufgaben nach Maßgabe des § 82 KAGB auf ein anderes Unternehmen (</w:t>
      </w:r>
      <w:proofErr w:type="spellStart"/>
      <w:r w:rsidRPr="009F44C6">
        <w:t>Unterverwahrer</w:t>
      </w:r>
      <w:proofErr w:type="spellEnd"/>
      <w:r w:rsidRPr="009F44C6">
        <w:t xml:space="preserve">) auslagern. </w:t>
      </w:r>
      <w:r w:rsidR="001354B2" w:rsidRPr="009F44C6">
        <w:t xml:space="preserve">Näheres hierzu enthält der Verkaufsprospekt. </w:t>
      </w:r>
    </w:p>
    <w:p w14:paraId="4A80B600" w14:textId="77777777" w:rsidR="001354B2" w:rsidRDefault="00700F0D" w:rsidP="001354B2">
      <w:r w:rsidRPr="009F44C6">
        <w:t xml:space="preserve">4. </w:t>
      </w:r>
      <w:r w:rsidR="001354B2" w:rsidRPr="009F44C6">
        <w:t xml:space="preserve">Die Verwahrstelle haftet gegenüber dem Sondervermögen oder gegenüber den Anlegern für das Abhandenkommen eines verwahrten Finanzinstrumentes </w:t>
      </w:r>
      <w:r w:rsidR="003504EB" w:rsidRPr="009F44C6">
        <w:t xml:space="preserve">im Sinne des § 81 Absatz 1 Nr. 1 KAGB </w:t>
      </w:r>
      <w:r w:rsidR="001354B2" w:rsidRPr="009F44C6">
        <w:t xml:space="preserve">durch die Verwahrstelle oder durch einen </w:t>
      </w:r>
      <w:proofErr w:type="spellStart"/>
      <w:r w:rsidR="001354B2" w:rsidRPr="009F44C6">
        <w:t>Unterverwahrer</w:t>
      </w:r>
      <w:proofErr w:type="spellEnd"/>
      <w:r w:rsidR="001354B2" w:rsidRPr="009F44C6">
        <w:t xml:space="preserve">, dem die Verwahrung von </w:t>
      </w:r>
      <w:r w:rsidR="002B489B" w:rsidRPr="009F44C6">
        <w:t xml:space="preserve">Finanzinstrumenten </w:t>
      </w:r>
      <w:r w:rsidR="001354B2" w:rsidRPr="009F44C6">
        <w:t>nach § 82 Absatz 1 KAGB übertragen wurde. Die Verwahrstelle haftet nicht, wenn sie nachweisen kann, dass das Abhandenkommen auf äußere Ereignisse zurückzuführen ist, deren Konsequenzen trotz aller angemessenen Gegenmaßnahmen unabwendbar waren. Weitergehende Ansprüche, die sich aus den Vorschriften des bürgerlichen Rechts auf Grund von Verträgen oder unerlaubten Handlungen ergeben, bleiben unberührt. Die Verwahrstelle haftet auch gegenüber dem Sondervermögen oder den Anlegern für sämtliche sonstigen Verluste, die diese dadurch erleiden, dass die Verwahrstelle fahrlässig oder vorsätzlich ihre Verpflichtungen nach den Vorschriften des KAGB nicht erfüllt. Die Haftung der Verwahrstelle bleibt von einer etwaigen Übertragung der Verwahraufgaben nach Absatz 3 Satz 1 unberührt.</w:t>
      </w:r>
    </w:p>
    <w:p w14:paraId="46D30B2C" w14:textId="0CFA8AD8" w:rsidR="00B15845" w:rsidRDefault="00B15845" w:rsidP="001354B2">
      <w:r>
        <w:br w:type="page"/>
      </w:r>
    </w:p>
    <w:p w14:paraId="2960636A" w14:textId="77777777" w:rsidR="002842C9" w:rsidRPr="009F44C6" w:rsidRDefault="002842C9">
      <w:pPr>
        <w:jc w:val="center"/>
        <w:rPr>
          <w:b/>
        </w:rPr>
      </w:pPr>
      <w:r w:rsidRPr="009F44C6">
        <w:rPr>
          <w:b/>
        </w:rPr>
        <w:lastRenderedPageBreak/>
        <w:t xml:space="preserve">§ 3 </w:t>
      </w:r>
      <w:r w:rsidR="00700F0D" w:rsidRPr="009F44C6">
        <w:rPr>
          <w:b/>
        </w:rPr>
        <w:t>Bewerter</w:t>
      </w:r>
    </w:p>
    <w:p w14:paraId="71D29779" w14:textId="77777777" w:rsidR="002842C9" w:rsidRPr="009F44C6" w:rsidRDefault="002842C9">
      <w:r w:rsidRPr="009F44C6">
        <w:t xml:space="preserve">1. Die Gesellschaft </w:t>
      </w:r>
      <w:r w:rsidR="00B04D32" w:rsidRPr="009F44C6">
        <w:t xml:space="preserve">bestellt für die Bewertung von </w:t>
      </w:r>
      <w:r w:rsidRPr="009F44C6">
        <w:t xml:space="preserve">Immobilien mindestens </w:t>
      </w:r>
      <w:r w:rsidR="00DD4820" w:rsidRPr="009F44C6">
        <w:t>zwei</w:t>
      </w:r>
      <w:r w:rsidR="00700F0D" w:rsidRPr="009F44C6">
        <w:t xml:space="preserve"> externe Bewerter.</w:t>
      </w:r>
    </w:p>
    <w:p w14:paraId="3709DF1D" w14:textId="77777777" w:rsidR="002842C9" w:rsidRPr="009F44C6" w:rsidRDefault="002842C9">
      <w:r w:rsidRPr="009F44C6">
        <w:t xml:space="preserve">2. </w:t>
      </w:r>
      <w:r w:rsidR="00DD4820" w:rsidRPr="009F44C6">
        <w:t xml:space="preserve">Jeder </w:t>
      </w:r>
      <w:r w:rsidR="009D76B6" w:rsidRPr="009F44C6">
        <w:t xml:space="preserve">externe </w:t>
      </w:r>
      <w:r w:rsidR="00DD4820" w:rsidRPr="009F44C6">
        <w:t>Bewerter</w:t>
      </w:r>
      <w:r w:rsidRPr="009F44C6">
        <w:t xml:space="preserve"> m</w:t>
      </w:r>
      <w:r w:rsidR="000E654E" w:rsidRPr="009F44C6">
        <w:t>u</w:t>
      </w:r>
      <w:r w:rsidRPr="009F44C6">
        <w:t xml:space="preserve">ss </w:t>
      </w:r>
      <w:r w:rsidR="00DD4820" w:rsidRPr="009F44C6">
        <w:t>den Anforderungen des § 216</w:t>
      </w:r>
      <w:r w:rsidR="00224C4B" w:rsidRPr="009F44C6">
        <w:t xml:space="preserve"> i. V. m. § 249 </w:t>
      </w:r>
      <w:r w:rsidR="00B47FBF" w:rsidRPr="009F44C6">
        <w:t>Absatz 1 Nummer</w:t>
      </w:r>
      <w:r w:rsidR="00224C4B" w:rsidRPr="009F44C6">
        <w:t xml:space="preserve"> 1 </w:t>
      </w:r>
      <w:r w:rsidR="00DD4820" w:rsidRPr="009F44C6">
        <w:t>KAGB genügen</w:t>
      </w:r>
      <w:r w:rsidR="00BD7E5E" w:rsidRPr="009F44C6">
        <w:t>.</w:t>
      </w:r>
      <w:r w:rsidRPr="009F44C6">
        <w:t xml:space="preserve"> Hinsichtlich </w:t>
      </w:r>
      <w:r w:rsidR="00EE3CE3" w:rsidRPr="009F44C6">
        <w:t xml:space="preserve">seines </w:t>
      </w:r>
      <w:r w:rsidR="004F4EB3" w:rsidRPr="009F44C6">
        <w:t xml:space="preserve">Bestellungszeitraumes und </w:t>
      </w:r>
      <w:r w:rsidR="00EE3CE3" w:rsidRPr="009F44C6">
        <w:t xml:space="preserve">seiner </w:t>
      </w:r>
      <w:r w:rsidRPr="009F44C6">
        <w:t xml:space="preserve">finanziellen Unabhängigkeit </w:t>
      </w:r>
      <w:r w:rsidR="00DD4820" w:rsidRPr="009F44C6">
        <w:t>sind die</w:t>
      </w:r>
      <w:r w:rsidR="00700F0D" w:rsidRPr="009F44C6">
        <w:t xml:space="preserve"> §</w:t>
      </w:r>
      <w:r w:rsidR="00DD4820" w:rsidRPr="009F44C6">
        <w:t>§ 250 Absatz</w:t>
      </w:r>
      <w:r w:rsidR="00700F0D" w:rsidRPr="009F44C6">
        <w:t xml:space="preserve"> 2</w:t>
      </w:r>
      <w:r w:rsidR="00DD4820" w:rsidRPr="009F44C6">
        <w:t>, 231 Absatz 2 Satz 2</w:t>
      </w:r>
      <w:r w:rsidR="00700F0D" w:rsidRPr="009F44C6">
        <w:t xml:space="preserve"> KAGB </w:t>
      </w:r>
      <w:r w:rsidRPr="009F44C6">
        <w:t>zu beachten.</w:t>
      </w:r>
    </w:p>
    <w:p w14:paraId="10C13394" w14:textId="77777777" w:rsidR="002842C9" w:rsidRPr="009F44C6" w:rsidRDefault="002842C9" w:rsidP="00965BD9">
      <w:r w:rsidRPr="009F44C6">
        <w:t xml:space="preserve">3. </w:t>
      </w:r>
      <w:r w:rsidR="00DD4820" w:rsidRPr="009F44C6">
        <w:t xml:space="preserve">Den </w:t>
      </w:r>
      <w:r w:rsidR="00697FCE" w:rsidRPr="009F44C6">
        <w:t xml:space="preserve">externen </w:t>
      </w:r>
      <w:r w:rsidR="00DD4820" w:rsidRPr="009F44C6">
        <w:t>Bewertern</w:t>
      </w:r>
      <w:r w:rsidRPr="009F44C6">
        <w:t xml:space="preserve"> obliegen die </w:t>
      </w:r>
      <w:r w:rsidR="00DD4820" w:rsidRPr="009F44C6">
        <w:t xml:space="preserve">ihnen </w:t>
      </w:r>
      <w:r w:rsidRPr="009F44C6">
        <w:t xml:space="preserve">nach dem </w:t>
      </w:r>
      <w:r w:rsidR="00DD4820" w:rsidRPr="009F44C6">
        <w:t xml:space="preserve">KAGB </w:t>
      </w:r>
      <w:r w:rsidRPr="009F44C6">
        <w:t xml:space="preserve">und den </w:t>
      </w:r>
      <w:r w:rsidR="00697FCE" w:rsidRPr="009F44C6">
        <w:t xml:space="preserve">Anlagebedingungen </w:t>
      </w:r>
      <w:r w:rsidRPr="009F44C6">
        <w:t xml:space="preserve">übertragenen Aufgaben nach Maßgabe einer </w:t>
      </w:r>
      <w:r w:rsidR="001032F1" w:rsidRPr="009F44C6">
        <w:t xml:space="preserve">von </w:t>
      </w:r>
      <w:r w:rsidRPr="009F44C6">
        <w:t xml:space="preserve">der Gesellschaft zu erlassenden </w:t>
      </w:r>
      <w:r w:rsidR="00E741CE" w:rsidRPr="009F44C6">
        <w:t xml:space="preserve">internen </w:t>
      </w:r>
      <w:r w:rsidR="00DD4820" w:rsidRPr="009F44C6">
        <w:t>Bewertungsrichtlinie</w:t>
      </w:r>
      <w:r w:rsidRPr="009F44C6">
        <w:t xml:space="preserve">. </w:t>
      </w:r>
      <w:r w:rsidR="00E134C5" w:rsidRPr="009F44C6">
        <w:t xml:space="preserve">Insbesondere </w:t>
      </w:r>
      <w:r w:rsidR="00995AFD" w:rsidRPr="009F44C6">
        <w:t>haben die externen Bewerter</w:t>
      </w:r>
      <w:r w:rsidR="00965BD9" w:rsidRPr="009F44C6">
        <w:t xml:space="preserve"> </w:t>
      </w:r>
      <w:r w:rsidR="006D0A1E" w:rsidRPr="009F44C6">
        <w:t xml:space="preserve">die zum Sondervermögen gehörenden bzw. im Eigentum einer Immobilien-Gesellschaft stehenden Immobilien </w:t>
      </w:r>
      <w:r w:rsidRPr="009F44C6">
        <w:t xml:space="preserve">einmal </w:t>
      </w:r>
      <w:r w:rsidR="009E35F6" w:rsidRPr="009F44C6">
        <w:t>viertel</w:t>
      </w:r>
      <w:r w:rsidRPr="009F44C6">
        <w:t xml:space="preserve">jährlich </w:t>
      </w:r>
      <w:r w:rsidR="00965BD9" w:rsidRPr="009F44C6">
        <w:t>zeitnah zu bewerten</w:t>
      </w:r>
      <w:r w:rsidR="00E134C5" w:rsidRPr="009F44C6">
        <w:t>, sofern in den Besonderen Anlagebedingungen nichts anderes bestimmt ist</w:t>
      </w:r>
      <w:r w:rsidR="00965BD9" w:rsidRPr="009F44C6">
        <w:t>.</w:t>
      </w:r>
      <w:r w:rsidRPr="009F44C6">
        <w:t xml:space="preserve"> </w:t>
      </w:r>
    </w:p>
    <w:p w14:paraId="5EE478A6" w14:textId="77777777" w:rsidR="009E35F6" w:rsidRPr="009F44C6" w:rsidRDefault="009E35F6" w:rsidP="00B47FBF">
      <w:pPr>
        <w:pBdr>
          <w:top w:val="single" w:sz="4" w:space="1" w:color="auto"/>
          <w:left w:val="single" w:sz="4" w:space="4" w:color="auto"/>
          <w:bottom w:val="single" w:sz="4" w:space="1" w:color="auto"/>
          <w:right w:val="single" w:sz="4" w:space="4" w:color="auto"/>
        </w:pBdr>
        <w:shd w:val="clear" w:color="auto" w:fill="D9D9D9"/>
      </w:pPr>
      <w:r w:rsidRPr="009F44C6">
        <w:t>Bearbeiterhinweis:</w:t>
      </w:r>
    </w:p>
    <w:p w14:paraId="7DF567DF" w14:textId="77777777" w:rsidR="009E35F6" w:rsidRPr="009F44C6" w:rsidRDefault="009E35F6" w:rsidP="00B47FBF">
      <w:pPr>
        <w:pBdr>
          <w:top w:val="single" w:sz="4" w:space="1" w:color="auto"/>
          <w:left w:val="single" w:sz="4" w:space="4" w:color="auto"/>
          <w:bottom w:val="single" w:sz="4" w:space="1" w:color="auto"/>
          <w:right w:val="single" w:sz="4" w:space="4" w:color="auto"/>
        </w:pBdr>
        <w:shd w:val="clear" w:color="auto" w:fill="D9D9D9"/>
      </w:pPr>
      <w:r w:rsidRPr="009F44C6">
        <w:t xml:space="preserve">Wenn die Anleger Anteile an dem Sondervermögen seltener als vierteljährlich zurückgeben können, dürfen </w:t>
      </w:r>
      <w:r w:rsidR="000C3A73" w:rsidRPr="009F44C6">
        <w:t xml:space="preserve">in den Besonderen </w:t>
      </w:r>
      <w:r w:rsidR="00DD4820" w:rsidRPr="009F44C6">
        <w:t>Anlagebedingungen</w:t>
      </w:r>
      <w:r w:rsidR="000C3A73" w:rsidRPr="009F44C6">
        <w:t xml:space="preserve"> </w:t>
      </w:r>
      <w:r w:rsidRPr="009F44C6">
        <w:t xml:space="preserve">seltenere Bewertungstermine vorgesehen werden. </w:t>
      </w:r>
      <w:r w:rsidR="009D76B6" w:rsidRPr="009F44C6">
        <w:t xml:space="preserve">Der Wert der Vermögensgegenstände ist daher innerhalb eines Zeitraums von drei Monaten vor </w:t>
      </w:r>
      <w:r w:rsidR="00F8741F" w:rsidRPr="009F44C6">
        <w:t xml:space="preserve">jedem </w:t>
      </w:r>
      <w:r w:rsidR="009D76B6" w:rsidRPr="009F44C6">
        <w:t xml:space="preserve">Rücknahmetermin zu ermitteln. </w:t>
      </w:r>
      <w:r w:rsidRPr="009F44C6">
        <w:t xml:space="preserve">Anteilrücknahme und Bewertung müssen </w:t>
      </w:r>
      <w:r w:rsidR="00C50E97" w:rsidRPr="009F44C6">
        <w:t xml:space="preserve">jeweils </w:t>
      </w:r>
      <w:r w:rsidRPr="009F44C6">
        <w:t xml:space="preserve">mindestens </w:t>
      </w:r>
      <w:r w:rsidR="00386E6C" w:rsidRPr="009F44C6">
        <w:t xml:space="preserve">einmal </w:t>
      </w:r>
      <w:r w:rsidRPr="009F44C6">
        <w:t xml:space="preserve">jährlich </w:t>
      </w:r>
      <w:r w:rsidR="00C50E97" w:rsidRPr="009F44C6">
        <w:t>erfolgen</w:t>
      </w:r>
      <w:r w:rsidRPr="009F44C6">
        <w:t>.</w:t>
      </w:r>
    </w:p>
    <w:p w14:paraId="4A9EC19C" w14:textId="77777777" w:rsidR="002842C9" w:rsidRPr="009F44C6" w:rsidRDefault="002842C9">
      <w:pPr>
        <w:pStyle w:val="Textkrper"/>
        <w:spacing w:after="360"/>
      </w:pPr>
      <w:r w:rsidRPr="009F44C6">
        <w:t xml:space="preserve">4. Ferner </w:t>
      </w:r>
      <w:r w:rsidR="00DD4820" w:rsidRPr="009F44C6">
        <w:t xml:space="preserve">hat </w:t>
      </w:r>
      <w:r w:rsidR="002B7028" w:rsidRPr="009F44C6">
        <w:t xml:space="preserve">mindestens ein </w:t>
      </w:r>
      <w:r w:rsidR="009D76B6" w:rsidRPr="009F44C6">
        <w:rPr>
          <w:lang w:val="de-DE"/>
        </w:rPr>
        <w:t xml:space="preserve">externer </w:t>
      </w:r>
      <w:r w:rsidR="00DD4820" w:rsidRPr="009F44C6">
        <w:t>Bewerter</w:t>
      </w:r>
      <w:r w:rsidRPr="009F44C6">
        <w:t xml:space="preserve"> </w:t>
      </w:r>
      <w:r w:rsidR="001032F1" w:rsidRPr="009F44C6">
        <w:t>nach</w:t>
      </w:r>
      <w:r w:rsidRPr="009F44C6">
        <w:t xml:space="preserve"> Bestellung eines Erbbaurechts innerhalb von zwei Monaten den Wert des Grundstücks neu festzustellen.</w:t>
      </w:r>
    </w:p>
    <w:p w14:paraId="47765137" w14:textId="77777777" w:rsidR="00F76860" w:rsidRPr="009F44C6" w:rsidRDefault="0043296B">
      <w:pPr>
        <w:pStyle w:val="Textkrper"/>
        <w:spacing w:after="360"/>
      </w:pPr>
      <w:r w:rsidRPr="009F44C6">
        <w:t xml:space="preserve">5. Eine Immobilie darf für das </w:t>
      </w:r>
      <w:r w:rsidR="00E741CE" w:rsidRPr="009F44C6">
        <w:t>Sondervermögen</w:t>
      </w:r>
      <w:r w:rsidRPr="009F44C6">
        <w:t xml:space="preserve"> oder für eine Immobilien-Gesellschaft, an der das </w:t>
      </w:r>
      <w:r w:rsidR="00E741CE" w:rsidRPr="009F44C6">
        <w:t>Sondervermögen</w:t>
      </w:r>
      <w:r w:rsidRPr="009F44C6">
        <w:t xml:space="preserve"> </w:t>
      </w:r>
      <w:r w:rsidR="00FC3677" w:rsidRPr="009F44C6">
        <w:t xml:space="preserve">unmittelbar oder mittelbar </w:t>
      </w:r>
      <w:r w:rsidRPr="009F44C6">
        <w:t xml:space="preserve">beteiligt ist, </w:t>
      </w:r>
      <w:r w:rsidRPr="009F44C6">
        <w:lastRenderedPageBreak/>
        <w:t xml:space="preserve">nur erworben werden, wenn sie zuvor von </w:t>
      </w:r>
      <w:r w:rsidR="002B7028" w:rsidRPr="009F44C6">
        <w:t xml:space="preserve">mindestens </w:t>
      </w:r>
      <w:r w:rsidRPr="009F44C6">
        <w:t xml:space="preserve">einem </w:t>
      </w:r>
      <w:r w:rsidR="009D76B6" w:rsidRPr="009F44C6">
        <w:rPr>
          <w:lang w:val="de-DE"/>
        </w:rPr>
        <w:t xml:space="preserve">externen </w:t>
      </w:r>
      <w:r w:rsidR="002B7028" w:rsidRPr="009F44C6">
        <w:t xml:space="preserve">Bewerter </w:t>
      </w:r>
      <w:r w:rsidRPr="009F44C6">
        <w:t>im Sinne des Absatzes 2 Satz 1</w:t>
      </w:r>
      <w:r w:rsidR="002B7028" w:rsidRPr="009F44C6">
        <w:t>, der nicht zugleich die regelmäßige Bewertung gemäß §</w:t>
      </w:r>
      <w:r w:rsidR="009D76B6" w:rsidRPr="009F44C6">
        <w:rPr>
          <w:lang w:val="de-DE"/>
        </w:rPr>
        <w:t>§</w:t>
      </w:r>
      <w:r w:rsidR="002B7028" w:rsidRPr="009F44C6">
        <w:t xml:space="preserve"> 249 und 251 Absatz 1</w:t>
      </w:r>
      <w:r w:rsidR="009D76B6" w:rsidRPr="009F44C6">
        <w:rPr>
          <w:lang w:val="de-DE"/>
        </w:rPr>
        <w:t xml:space="preserve"> KAGB</w:t>
      </w:r>
      <w:r w:rsidR="002B7028" w:rsidRPr="009F44C6">
        <w:t xml:space="preserve"> durchführt, </w:t>
      </w:r>
      <w:r w:rsidRPr="009F44C6">
        <w:t xml:space="preserve">bewertet wurde. </w:t>
      </w:r>
    </w:p>
    <w:p w14:paraId="21169921" w14:textId="77777777" w:rsidR="0014148F" w:rsidRPr="009F44C6" w:rsidRDefault="00F76860" w:rsidP="00F81D58">
      <w:pPr>
        <w:spacing w:after="480"/>
      </w:pPr>
      <w:r w:rsidRPr="009F44C6">
        <w:t xml:space="preserve">6. </w:t>
      </w:r>
      <w:r w:rsidR="0043296B" w:rsidRPr="009F44C6">
        <w:t>Eine Beteiligung an einer Im</w:t>
      </w:r>
      <w:r w:rsidRPr="009F44C6">
        <w:t>m</w:t>
      </w:r>
      <w:r w:rsidR="0043296B" w:rsidRPr="009F44C6">
        <w:t xml:space="preserve">obilien-Gesellschaft darf für das Sondervermögen </w:t>
      </w:r>
      <w:r w:rsidR="009A59B7" w:rsidRPr="009F44C6">
        <w:t xml:space="preserve">unmittelbar oder mittelbar </w:t>
      </w:r>
      <w:r w:rsidR="0043296B" w:rsidRPr="009F44C6">
        <w:t xml:space="preserve">nur </w:t>
      </w:r>
      <w:r w:rsidRPr="009F44C6">
        <w:t xml:space="preserve">erworben werden, wenn die im Jahresabschluss oder in der Vermögensaufstellung der Immobilien-Gesellschaft ausgewiesenen Immobilien von </w:t>
      </w:r>
      <w:r w:rsidR="002B7028" w:rsidRPr="009F44C6">
        <w:t xml:space="preserve">mindestens </w:t>
      </w:r>
      <w:r w:rsidRPr="009F44C6">
        <w:t xml:space="preserve">einem </w:t>
      </w:r>
      <w:r w:rsidR="009D76B6" w:rsidRPr="009F44C6">
        <w:t xml:space="preserve">externen Bewerter </w:t>
      </w:r>
      <w:r w:rsidRPr="009F44C6">
        <w:t xml:space="preserve">im Sinne des Absatzes 2 Satz 1, </w:t>
      </w:r>
      <w:r w:rsidR="002B7028" w:rsidRPr="009F44C6">
        <w:t>der nicht zugleich die regelmäßige Bewertung gemäß §</w:t>
      </w:r>
      <w:r w:rsidR="009D76B6" w:rsidRPr="009F44C6">
        <w:t>§</w:t>
      </w:r>
      <w:r w:rsidR="002B7028" w:rsidRPr="009F44C6">
        <w:t xml:space="preserve"> 249 und 251 Absatz 1</w:t>
      </w:r>
      <w:r w:rsidR="009D76B6" w:rsidRPr="009F44C6">
        <w:t xml:space="preserve"> KAGB</w:t>
      </w:r>
      <w:r w:rsidR="002B7028" w:rsidRPr="009F44C6">
        <w:t xml:space="preserve"> durchführt, </w:t>
      </w:r>
      <w:r w:rsidRPr="009F44C6">
        <w:t>bewertet wurden.</w:t>
      </w:r>
    </w:p>
    <w:p w14:paraId="7AFD3AE9" w14:textId="77777777" w:rsidR="002842C9" w:rsidRPr="009F44C6" w:rsidRDefault="002842C9" w:rsidP="0014148F">
      <w:pPr>
        <w:spacing w:after="480"/>
        <w:jc w:val="center"/>
        <w:rPr>
          <w:b/>
        </w:rPr>
      </w:pPr>
      <w:r w:rsidRPr="009F44C6">
        <w:rPr>
          <w:b/>
        </w:rPr>
        <w:t>§ 4 Fondsverwaltung</w:t>
      </w:r>
    </w:p>
    <w:p w14:paraId="5FC9F820" w14:textId="77777777" w:rsidR="002842C9" w:rsidRPr="009F44C6" w:rsidRDefault="002842C9">
      <w:r w:rsidRPr="009F44C6">
        <w:t>1. Die Gesellschaft erwirbt und verwaltet die Vermögensgegenstände im eige</w:t>
      </w:r>
      <w:r w:rsidRPr="009F44C6">
        <w:softHyphen/>
        <w:t xml:space="preserve">nen Namen für gemeinschaftliche Rechnung der Anleger </w:t>
      </w:r>
      <w:r w:rsidR="002B7028" w:rsidRPr="009F44C6">
        <w:t>mit der gebotenen Sachkenntnis, Redlichkeit, Sorgfalt und Gewissenhaftigkeit.</w:t>
      </w:r>
      <w:r w:rsidRPr="009F44C6">
        <w:t xml:space="preserve"> Sie handelt bei der Wahrnehmung ihrer Auf</w:t>
      </w:r>
      <w:r w:rsidR="007A1349" w:rsidRPr="009F44C6">
        <w:t>g</w:t>
      </w:r>
      <w:r w:rsidRPr="009F44C6">
        <w:t xml:space="preserve">aben unabhängig von der </w:t>
      </w:r>
      <w:r w:rsidR="002B7028" w:rsidRPr="009F44C6">
        <w:t xml:space="preserve">Verwahrstelle </w:t>
      </w:r>
      <w:r w:rsidRPr="009F44C6">
        <w:t>und ausschließlich im Interesse der Anleger</w:t>
      </w:r>
      <w:r w:rsidR="002B7028" w:rsidRPr="009F44C6">
        <w:t>.</w:t>
      </w:r>
    </w:p>
    <w:p w14:paraId="6240CAA6" w14:textId="77777777" w:rsidR="002842C9" w:rsidRPr="009F44C6" w:rsidRDefault="002842C9">
      <w:r w:rsidRPr="009F44C6">
        <w:t>2. Die Gesellschaft ist berechtigt, mit dem von den Anlegern eingelegten Geld die Vermögensgegenstände zu erwerben, diese wieder zu veräußern und den Erlös anderweitig anzulegen. Sie ist ferner ermächtigt, alle sich aus der Verwaltung der Vermögensgegenstände ergebenden sonstigen Rechtshandlungen vorzunehmen.</w:t>
      </w:r>
    </w:p>
    <w:p w14:paraId="6AAB3924" w14:textId="77777777" w:rsidR="002842C9" w:rsidRPr="009F44C6" w:rsidRDefault="002842C9">
      <w:r w:rsidRPr="009F44C6">
        <w:t>3. Über die Veräußerung von Immobilien oder von Beteiligungen an Immobilien-Gesellschaften entscheidet die Gesellschaft im Rahmen einer ordnungsgemäßen Geschäftsführung (§ </w:t>
      </w:r>
      <w:r w:rsidR="002B7028" w:rsidRPr="009F44C6">
        <w:t>26 KAGB</w:t>
      </w:r>
      <w:r w:rsidRPr="009F44C6">
        <w:t xml:space="preserve">). Veräußerungen nach Aussetzung der Anteilrücknahme gemäß § 12 </w:t>
      </w:r>
      <w:r w:rsidR="009D76B6" w:rsidRPr="009F44C6">
        <w:t>Absatz</w:t>
      </w:r>
      <w:r w:rsidRPr="009F44C6">
        <w:t> </w:t>
      </w:r>
      <w:r w:rsidR="00E741CE" w:rsidRPr="009F44C6">
        <w:t xml:space="preserve">8 </w:t>
      </w:r>
      <w:r w:rsidRPr="009F44C6">
        <w:t>bleiben hiervon unberührt.</w:t>
      </w:r>
    </w:p>
    <w:p w14:paraId="45BBF710" w14:textId="3E086513" w:rsidR="002842C9" w:rsidRPr="009F44C6" w:rsidRDefault="002842C9" w:rsidP="00F81D58">
      <w:pPr>
        <w:spacing w:after="480"/>
      </w:pPr>
      <w:r w:rsidRPr="009F44C6">
        <w:t xml:space="preserve">4. Die Gesellschaft darf für gemeinschaftliche Rechnung der Anleger weder Gelddarlehen gewähren noch Verpflichtungen aus einem Bürgschafts- oder einem Garantievertrag eingehen; sie darf keine Vermögensgegenstände nach Maßgabe der </w:t>
      </w:r>
      <w:r w:rsidRPr="009F44C6">
        <w:lastRenderedPageBreak/>
        <w:t xml:space="preserve">§§ </w:t>
      </w:r>
      <w:r w:rsidR="0015781E" w:rsidRPr="009F44C6">
        <w:t>193,194 und 196 KAGB</w:t>
      </w:r>
      <w:r w:rsidRPr="009F44C6">
        <w:t xml:space="preserve"> verkaufen, die im Zeitpunkt des Geschäftsabschlusses nicht zum </w:t>
      </w:r>
      <w:r w:rsidR="00E741CE" w:rsidRPr="009F44C6">
        <w:t>Sondervermögen</w:t>
      </w:r>
      <w:r w:rsidRPr="009F44C6">
        <w:t xml:space="preserve"> gehören. § </w:t>
      </w:r>
      <w:r w:rsidR="0015781E" w:rsidRPr="009F44C6">
        <w:t>197 KAGB</w:t>
      </w:r>
      <w:r w:rsidRPr="009F44C6">
        <w:t xml:space="preserve"> bleibt unberührt. Abweichend von Satz 1 darf die Gesellschaft oder ein Dritter in ihrem Auftrag einer Immobilien-Gesellschaft für Rechnung des </w:t>
      </w:r>
      <w:r w:rsidR="00E741CE" w:rsidRPr="009F44C6">
        <w:t>Sondervermögen</w:t>
      </w:r>
      <w:r w:rsidRPr="009F44C6">
        <w:t xml:space="preserve">s ein Darlehen </w:t>
      </w:r>
      <w:r w:rsidR="009E1BFD" w:rsidRPr="0069163A">
        <w:t>nach Maßgabe des § 240 KAGB</w:t>
      </w:r>
      <w:r w:rsidR="009E1BFD">
        <w:t xml:space="preserve"> </w:t>
      </w:r>
      <w:r w:rsidRPr="009F44C6">
        <w:t>gewähren</w:t>
      </w:r>
      <w:r w:rsidR="009E1BFD">
        <w:t xml:space="preserve">. </w:t>
      </w:r>
    </w:p>
    <w:p w14:paraId="57020A9C" w14:textId="77777777" w:rsidR="002842C9" w:rsidRPr="009F44C6" w:rsidRDefault="002842C9">
      <w:pPr>
        <w:jc w:val="center"/>
        <w:rPr>
          <w:b/>
        </w:rPr>
      </w:pPr>
      <w:r w:rsidRPr="009F44C6">
        <w:rPr>
          <w:b/>
        </w:rPr>
        <w:t>§ 5 Anlagegrundsätze</w:t>
      </w:r>
    </w:p>
    <w:p w14:paraId="045DEECC" w14:textId="77777777" w:rsidR="002842C9" w:rsidRPr="009F44C6" w:rsidRDefault="002842C9">
      <w:r w:rsidRPr="009F44C6">
        <w:t xml:space="preserve">1. </w:t>
      </w:r>
      <w:r w:rsidR="007B7DCB" w:rsidRPr="009F44C6">
        <w:rPr>
          <w:rFonts w:cs="Arial"/>
        </w:rPr>
        <w:t xml:space="preserve">Das Immobilien-Sondervermögen wird unmittelbar oder mittelbar nach dem Grundsatz der Risikomischung angelegt. </w:t>
      </w:r>
      <w:r w:rsidRPr="009F44C6">
        <w:t xml:space="preserve">Die Gesellschaft bestimmt in den Besonderen </w:t>
      </w:r>
      <w:r w:rsidR="0015781E" w:rsidRPr="009F44C6">
        <w:t>Anlagebedingungen</w:t>
      </w:r>
      <w:r w:rsidRPr="009F44C6">
        <w:t>,</w:t>
      </w:r>
    </w:p>
    <w:p w14:paraId="229EBFB5" w14:textId="77777777" w:rsidR="002842C9" w:rsidRPr="009F44C6" w:rsidRDefault="00BD4AA2">
      <w:r w:rsidRPr="009F44C6">
        <w:t xml:space="preserve">a) welche </w:t>
      </w:r>
      <w:r w:rsidR="002842C9" w:rsidRPr="009F44C6">
        <w:t xml:space="preserve">Immobilien für das </w:t>
      </w:r>
      <w:r w:rsidR="00E741CE" w:rsidRPr="009F44C6">
        <w:t>Sondervermögen</w:t>
      </w:r>
      <w:r w:rsidR="002842C9" w:rsidRPr="009F44C6">
        <w:t xml:space="preserve"> erworben werden dürfen;</w:t>
      </w:r>
    </w:p>
    <w:p w14:paraId="3F2D540D" w14:textId="77777777" w:rsidR="002842C9" w:rsidRPr="009F44C6" w:rsidRDefault="002842C9">
      <w:r w:rsidRPr="009F44C6">
        <w:t xml:space="preserve">b) ob und in welchem Umfang für Rechnung des </w:t>
      </w:r>
      <w:r w:rsidR="00E741CE" w:rsidRPr="009F44C6">
        <w:t>Sondervermögen</w:t>
      </w:r>
      <w:r w:rsidRPr="009F44C6">
        <w:t>s Be</w:t>
      </w:r>
      <w:r w:rsidRPr="009F44C6">
        <w:softHyphen/>
        <w:t>teiligungen an Immobilien-Gesellschaften erworben werden dürfen;</w:t>
      </w:r>
    </w:p>
    <w:p w14:paraId="48FE53A2" w14:textId="77777777" w:rsidR="002842C9" w:rsidRPr="009F44C6" w:rsidRDefault="002842C9">
      <w:r w:rsidRPr="009F44C6">
        <w:t xml:space="preserve">c) ob und unter welchen Bedingungen Immobilien des </w:t>
      </w:r>
      <w:r w:rsidR="00E741CE" w:rsidRPr="009F44C6">
        <w:t>Sondervermögen</w:t>
      </w:r>
      <w:r w:rsidRPr="009F44C6">
        <w:t xml:space="preserve">s mit einem Erbbaurecht belastet werden dürfen; </w:t>
      </w:r>
    </w:p>
    <w:p w14:paraId="5FDB50AE" w14:textId="77777777" w:rsidR="002842C9" w:rsidRPr="009F44C6" w:rsidRDefault="002842C9">
      <w:pPr>
        <w:rPr>
          <w:i/>
        </w:rPr>
      </w:pPr>
      <w:r w:rsidRPr="009F44C6">
        <w:t xml:space="preserve">d) ob und in welchem Umfang für Rechnung des </w:t>
      </w:r>
      <w:r w:rsidR="00E741CE" w:rsidRPr="009F44C6">
        <w:t>Sondervermögen</w:t>
      </w:r>
      <w:r w:rsidRPr="009F44C6">
        <w:t>s zur Absi</w:t>
      </w:r>
      <w:r w:rsidRPr="009F44C6">
        <w:softHyphen/>
        <w:t xml:space="preserve">cherung von Vermögensgegenständen in Derivate im Sinne des § </w:t>
      </w:r>
      <w:r w:rsidR="0015781E" w:rsidRPr="009F44C6">
        <w:t xml:space="preserve">197 KAGB </w:t>
      </w:r>
      <w:r w:rsidRPr="009F44C6">
        <w:t>inves</w:t>
      </w:r>
      <w:r w:rsidR="00BD4AA2" w:rsidRPr="009F44C6">
        <w:t xml:space="preserve">tiert werden </w:t>
      </w:r>
      <w:r w:rsidRPr="009F44C6">
        <w:t xml:space="preserve">darf. Beim Einsatz von Derivaten wird die Gesellschaft </w:t>
      </w:r>
      <w:r w:rsidR="0015781E" w:rsidRPr="009F44C6">
        <w:t>die gemäß § 197 Absatz 3 KAGB erlassene Verordnung über Risikomanagement und Risikomessung beim Einsatz von Derivaten, Wertpapier-Darlehen und Pensionsgeschäften in Investmentvermögen nach dem Kapitalanlagegesetzbuch (</w:t>
      </w:r>
      <w:r w:rsidR="00395904" w:rsidRPr="009F44C6">
        <w:t>„</w:t>
      </w:r>
      <w:proofErr w:type="spellStart"/>
      <w:r w:rsidR="0015781E" w:rsidRPr="009F44C6">
        <w:t>DerivateV</w:t>
      </w:r>
      <w:proofErr w:type="spellEnd"/>
      <w:r w:rsidR="00395904" w:rsidRPr="009F44C6">
        <w:t>“</w:t>
      </w:r>
      <w:r w:rsidR="0015781E" w:rsidRPr="009F44C6">
        <w:t>) beachten</w:t>
      </w:r>
      <w:r w:rsidR="00256422" w:rsidRPr="009F44C6">
        <w:t>.</w:t>
      </w:r>
    </w:p>
    <w:p w14:paraId="7BB31373" w14:textId="526D1045" w:rsidR="002842C9" w:rsidRDefault="002842C9" w:rsidP="00F81D58">
      <w:pPr>
        <w:spacing w:after="480"/>
      </w:pPr>
      <w:r w:rsidRPr="009F44C6">
        <w:t>2. Die zum Erwerb vorgesehenen Immobilien und Beteiligungen an Immobilien-Gesellschaften müssen einen dauernden Ertrag erwarten lassen.</w:t>
      </w:r>
    </w:p>
    <w:p w14:paraId="3D161822" w14:textId="77777777" w:rsidR="00FA166F" w:rsidRPr="009F44C6" w:rsidRDefault="00FA166F" w:rsidP="00F81D58">
      <w:pPr>
        <w:spacing w:after="480"/>
      </w:pPr>
    </w:p>
    <w:p w14:paraId="1FFE26BA" w14:textId="77777777" w:rsidR="002842C9" w:rsidRPr="009F44C6" w:rsidRDefault="002842C9">
      <w:pPr>
        <w:jc w:val="center"/>
        <w:rPr>
          <w:b/>
        </w:rPr>
      </w:pPr>
      <w:r w:rsidRPr="009F44C6">
        <w:rPr>
          <w:b/>
        </w:rPr>
        <w:lastRenderedPageBreak/>
        <w:t xml:space="preserve">§ 6 Liquidität, Anlage- und </w:t>
      </w:r>
      <w:proofErr w:type="spellStart"/>
      <w:r w:rsidR="008D2F97" w:rsidRPr="009F44C6">
        <w:rPr>
          <w:b/>
        </w:rPr>
        <w:t>Emittentengrenzen</w:t>
      </w:r>
      <w:proofErr w:type="spellEnd"/>
    </w:p>
    <w:p w14:paraId="74208276" w14:textId="77777777" w:rsidR="002842C9" w:rsidRPr="009F44C6" w:rsidRDefault="002842C9">
      <w:r w:rsidRPr="009F44C6">
        <w:t xml:space="preserve">1. Die Gesellschaft hat bei der Aufnahme von Vermögensgegenständen in das </w:t>
      </w:r>
      <w:r w:rsidR="00E741CE" w:rsidRPr="009F44C6">
        <w:t>Sondervermögen</w:t>
      </w:r>
      <w:r w:rsidRPr="009F44C6">
        <w:t xml:space="preserve">, deren Verwaltung und bei der Veräußerung die im </w:t>
      </w:r>
      <w:r w:rsidR="0015781E" w:rsidRPr="009F44C6">
        <w:t xml:space="preserve">KAGB </w:t>
      </w:r>
      <w:r w:rsidRPr="009F44C6">
        <w:t xml:space="preserve">und die in den </w:t>
      </w:r>
      <w:r w:rsidR="00697FCE" w:rsidRPr="009F44C6">
        <w:t xml:space="preserve">Anlagebedingungen </w:t>
      </w:r>
      <w:r w:rsidRPr="009F44C6">
        <w:t>festgelegten Grenzen und Beschränkungen zu beachten.</w:t>
      </w:r>
    </w:p>
    <w:p w14:paraId="1E39E15B" w14:textId="77777777" w:rsidR="002842C9" w:rsidRPr="009F44C6" w:rsidRDefault="002842C9">
      <w:r w:rsidRPr="009F44C6">
        <w:t xml:space="preserve">2. Sofern in den Besonderen </w:t>
      </w:r>
      <w:r w:rsidR="0015781E" w:rsidRPr="009F44C6">
        <w:t>Anlagebedingungen</w:t>
      </w:r>
      <w:r w:rsidRPr="009F44C6">
        <w:t xml:space="preserve"> nichts </w:t>
      </w:r>
      <w:r w:rsidR="007A1349" w:rsidRPr="009F44C6">
        <w:t>Anderweitiges</w:t>
      </w:r>
      <w:r w:rsidRPr="009F44C6">
        <w:t xml:space="preserve"> bestimmt ist, dürfen im Rahmen der Höchstliquidität im gesetzlich zulässigen Rahmen (§ </w:t>
      </w:r>
      <w:r w:rsidR="0015781E" w:rsidRPr="009F44C6">
        <w:t>253 KAGB</w:t>
      </w:r>
      <w:r w:rsidRPr="009F44C6">
        <w:t>) folgende Mittel gehalten werden:</w:t>
      </w:r>
    </w:p>
    <w:p w14:paraId="2D871688" w14:textId="77777777" w:rsidR="002842C9" w:rsidRPr="009F44C6" w:rsidRDefault="002842C9">
      <w:r w:rsidRPr="009F44C6">
        <w:t xml:space="preserve">a) Bankguthaben gemäß § </w:t>
      </w:r>
      <w:r w:rsidR="0015781E" w:rsidRPr="009F44C6">
        <w:t>195 KAGB</w:t>
      </w:r>
      <w:r w:rsidRPr="009F44C6">
        <w:t>;</w:t>
      </w:r>
    </w:p>
    <w:p w14:paraId="32783B45" w14:textId="77777777" w:rsidR="002842C9" w:rsidRPr="009F44C6" w:rsidRDefault="002842C9">
      <w:r w:rsidRPr="009F44C6">
        <w:t xml:space="preserve">b) Geldmarktinstrumente gemäß §§ </w:t>
      </w:r>
      <w:r w:rsidR="0015781E" w:rsidRPr="009F44C6">
        <w:t>194 und 198 N</w:t>
      </w:r>
      <w:r w:rsidR="00697FCE" w:rsidRPr="009F44C6">
        <w:t>umme</w:t>
      </w:r>
      <w:r w:rsidR="0015781E" w:rsidRPr="009F44C6">
        <w:t>r 2 KAGB</w:t>
      </w:r>
      <w:r w:rsidRPr="009F44C6">
        <w:t>;</w:t>
      </w:r>
    </w:p>
    <w:p w14:paraId="49869411" w14:textId="77777777" w:rsidR="002842C9" w:rsidRPr="009F44C6" w:rsidRDefault="002842C9">
      <w:r w:rsidRPr="009F44C6">
        <w:t>c) Wertpapiere</w:t>
      </w:r>
      <w:r w:rsidR="008600F0" w:rsidRPr="009F44C6">
        <w:t xml:space="preserve"> i</w:t>
      </w:r>
      <w:r w:rsidR="00BF6F51" w:rsidRPr="009F44C6">
        <w:t>m Sinne des §</w:t>
      </w:r>
      <w:r w:rsidR="008600F0" w:rsidRPr="009F44C6">
        <w:t xml:space="preserve"> 193 KAGB</w:t>
      </w:r>
      <w:r w:rsidRPr="009F44C6">
        <w:t>, die zur Sicherung der in Artikel 18.1 des Protokolls über die Satzung des Europäischen Systems der Zentralbanken und der Europäischen Zentralbank genannten Kreditgeschäfte von der Europäischen Zentralbank oder der Deutschen Bundesbank zugelassen sind oder deren Zulassung nach den Emissionsbedingungen beantragt wird, sofern die Zulassung innerhalb eines Jahres nach ihrer Ausgabe erfolgt;</w:t>
      </w:r>
    </w:p>
    <w:p w14:paraId="4AEB2D63" w14:textId="77777777" w:rsidR="002842C9" w:rsidRPr="009F44C6" w:rsidRDefault="002842C9">
      <w:r w:rsidRPr="009F44C6">
        <w:t xml:space="preserve">d) Investmentanteile nach Maßgabe des § </w:t>
      </w:r>
      <w:r w:rsidR="0015781E" w:rsidRPr="009F44C6">
        <w:t>196 KAGB</w:t>
      </w:r>
      <w:r w:rsidRPr="009F44C6">
        <w:t xml:space="preserve"> oder Anteile an Spezial-Sondervermögen nach Maßgabe des § </w:t>
      </w:r>
      <w:r w:rsidR="00BE2188" w:rsidRPr="009F44C6">
        <w:t>196 Absatz 1 Satz 2 KAGB</w:t>
      </w:r>
      <w:r w:rsidRPr="009F44C6">
        <w:t xml:space="preserve">, die nach den </w:t>
      </w:r>
      <w:r w:rsidR="00BE2188" w:rsidRPr="009F44C6">
        <w:t xml:space="preserve">Anlagebedingungen </w:t>
      </w:r>
      <w:r w:rsidRPr="009F44C6">
        <w:t xml:space="preserve">ausschließlich in Vermögensgegenstände nach Buchstaben a), b) und c) anlegen dürfen; </w:t>
      </w:r>
    </w:p>
    <w:p w14:paraId="3B39074E" w14:textId="77777777" w:rsidR="002842C9" w:rsidRPr="009F44C6" w:rsidRDefault="002842C9">
      <w:r w:rsidRPr="009F44C6">
        <w:t>e) Wertpapiere</w:t>
      </w:r>
      <w:r w:rsidR="003A2D47" w:rsidRPr="009F44C6">
        <w:t xml:space="preserve"> i</w:t>
      </w:r>
      <w:r w:rsidR="00BF6F51" w:rsidRPr="009F44C6">
        <w:t xml:space="preserve">m Sinne des § </w:t>
      </w:r>
      <w:r w:rsidR="003A2D47" w:rsidRPr="009F44C6">
        <w:t>193 KAGB</w:t>
      </w:r>
      <w:r w:rsidRPr="009F44C6">
        <w:t>, die an eine</w:t>
      </w:r>
      <w:r w:rsidR="00180746" w:rsidRPr="009F44C6">
        <w:t>m</w:t>
      </w:r>
      <w:r w:rsidRPr="009F44C6">
        <w:t xml:space="preserve"> </w:t>
      </w:r>
      <w:r w:rsidR="00180746" w:rsidRPr="009F44C6">
        <w:t xml:space="preserve">organisierten Markt im Sinne von § 2 </w:t>
      </w:r>
      <w:r w:rsidR="00010B9D" w:rsidRPr="009F44C6">
        <w:t>Absatz</w:t>
      </w:r>
      <w:r w:rsidR="00180746" w:rsidRPr="009F44C6">
        <w:t xml:space="preserve"> </w:t>
      </w:r>
      <w:r w:rsidR="00D546A6">
        <w:t>11</w:t>
      </w:r>
      <w:r w:rsidR="00D546A6" w:rsidRPr="009F44C6">
        <w:t xml:space="preserve"> </w:t>
      </w:r>
      <w:r w:rsidR="00180746" w:rsidRPr="009F44C6">
        <w:t>des Wertpapierhandel</w:t>
      </w:r>
      <w:r w:rsidR="00301A2A" w:rsidRPr="009F44C6">
        <w:t>s</w:t>
      </w:r>
      <w:r w:rsidR="00180746" w:rsidRPr="009F44C6">
        <w:t>gesetzes zum Handel</w:t>
      </w:r>
      <w:r w:rsidRPr="009F44C6">
        <w:t xml:space="preserve"> zugelassen oder festverzinsliche Wertpapiere</w:t>
      </w:r>
      <w:r w:rsidR="00180746" w:rsidRPr="009F44C6">
        <w:t xml:space="preserve"> sind</w:t>
      </w:r>
      <w:r w:rsidRPr="009F44C6">
        <w:t xml:space="preserve">, </w:t>
      </w:r>
      <w:r w:rsidR="00002A09" w:rsidRPr="009F44C6">
        <w:t>soweit diese einen Betrag von 5</w:t>
      </w:r>
      <w:r w:rsidRPr="009F44C6">
        <w:t xml:space="preserve">% des Wertes des </w:t>
      </w:r>
      <w:r w:rsidR="00E741CE" w:rsidRPr="009F44C6">
        <w:t>Sondervermögen</w:t>
      </w:r>
      <w:r w:rsidRPr="009F44C6">
        <w:t>s nicht überschreiten</w:t>
      </w:r>
      <w:r w:rsidR="00180746" w:rsidRPr="009F44C6">
        <w:t>, und</w:t>
      </w:r>
      <w:r w:rsidR="0044382B" w:rsidRPr="009F44C6">
        <w:t xml:space="preserve"> zusätzlich</w:t>
      </w:r>
    </w:p>
    <w:p w14:paraId="15DA1B19" w14:textId="77777777" w:rsidR="001D4BB8" w:rsidRPr="009F44C6" w:rsidRDefault="00180746">
      <w:r w:rsidRPr="009F44C6">
        <w:lastRenderedPageBreak/>
        <w:t xml:space="preserve">f) Aktien von REIT-Aktiengesellschaften oder vergleichbare Anteile ausländischer juristischer Personen, die an einem der in § </w:t>
      </w:r>
      <w:r w:rsidR="00BE2188" w:rsidRPr="009F44C6">
        <w:t>193 Absatz 1 Nummer 1 und 2 KAGB</w:t>
      </w:r>
      <w:r w:rsidRPr="009F44C6">
        <w:t xml:space="preserve"> bezeichneten Märkte zugelassen oder in diesen einbezogen sind, soweit der Wert dieser Aktien oder Anteile einen Betrag von 5 </w:t>
      </w:r>
      <w:r w:rsidR="00697FCE" w:rsidRPr="009F44C6">
        <w:t xml:space="preserve">% </w:t>
      </w:r>
      <w:r w:rsidRPr="009F44C6">
        <w:t xml:space="preserve">des Wertes des </w:t>
      </w:r>
      <w:r w:rsidR="00E741CE" w:rsidRPr="009F44C6">
        <w:t>Sondervermögen</w:t>
      </w:r>
      <w:r w:rsidRPr="009F44C6">
        <w:t>s nicht überschreitet und die in Artikel 2 Abs. 1 der Richtlinie 2007/16/EG genannten Kriterien erfüllt sind</w:t>
      </w:r>
      <w:r w:rsidR="00E96186" w:rsidRPr="009F44C6">
        <w:t>;</w:t>
      </w:r>
    </w:p>
    <w:p w14:paraId="6B4E46CD" w14:textId="30B4D90A" w:rsidR="001C3E8D" w:rsidRPr="009F44C6" w:rsidRDefault="003C6943" w:rsidP="003C6943">
      <w:r w:rsidRPr="009F44C6">
        <w:t>g) Die Höhe der Beteiligung an einer Kapitalgesellschaft muss unter 10</w:t>
      </w:r>
      <w:r w:rsidR="00FD3F36" w:rsidRPr="009F44C6">
        <w:t xml:space="preserve">% </w:t>
      </w:r>
      <w:r w:rsidRPr="009F44C6">
        <w:t>des Kapitals des jeweiligen Unternehmens liegen; dies gilt nicht für Beteiligungen an Immobilien-Gesellschaften</w:t>
      </w:r>
      <w:r w:rsidR="00F7753D" w:rsidRPr="009F44C6">
        <w:t>.</w:t>
      </w:r>
    </w:p>
    <w:p w14:paraId="34FF1392" w14:textId="77777777" w:rsidR="002842C9" w:rsidRPr="009F44C6" w:rsidRDefault="002842C9">
      <w:r w:rsidRPr="009F44C6">
        <w:t xml:space="preserve">3. Der Teil des </w:t>
      </w:r>
      <w:r w:rsidR="00E741CE" w:rsidRPr="009F44C6">
        <w:t>Sondervermögen</w:t>
      </w:r>
      <w:r w:rsidRPr="009F44C6">
        <w:t xml:space="preserve">s, der in Bankguthaben gehalten werden darf, wird in den Besonderen </w:t>
      </w:r>
      <w:r w:rsidR="00BE2188" w:rsidRPr="009F44C6">
        <w:t>Anlagebedingungen</w:t>
      </w:r>
      <w:r w:rsidRPr="009F44C6">
        <w:t xml:space="preserve"> festgelegt. Die Gesellschaft darf nur bis zu 20% des Wertes des </w:t>
      </w:r>
      <w:r w:rsidR="00E741CE" w:rsidRPr="009F44C6">
        <w:t>Sondervermögen</w:t>
      </w:r>
      <w:r w:rsidRPr="009F44C6">
        <w:t xml:space="preserve">s in Bankguthaben bei je einem Kreditinstitut anlegen. </w:t>
      </w:r>
    </w:p>
    <w:p w14:paraId="389E8D80" w14:textId="25297119" w:rsidR="0014148F" w:rsidRPr="009F44C6" w:rsidRDefault="002842C9">
      <w:r w:rsidRPr="009F44C6">
        <w:t xml:space="preserve">4. </w:t>
      </w:r>
      <w:r w:rsidR="00D40A32">
        <w:t>Die Gesellschaft darf</w:t>
      </w:r>
      <w:r w:rsidRPr="009F44C6">
        <w:t xml:space="preserve"> Wertpapiere </w:t>
      </w:r>
      <w:r w:rsidR="006234BF" w:rsidRPr="009F44C6">
        <w:t>i</w:t>
      </w:r>
      <w:r w:rsidR="00BF6F51" w:rsidRPr="009F44C6">
        <w:t xml:space="preserve">m Sinne des § </w:t>
      </w:r>
      <w:r w:rsidR="006234BF" w:rsidRPr="009F44C6">
        <w:t>193 KAGB</w:t>
      </w:r>
      <w:r w:rsidR="001E3C43" w:rsidRPr="009F44C6">
        <w:t xml:space="preserve"> </w:t>
      </w:r>
      <w:r w:rsidRPr="009F44C6">
        <w:t xml:space="preserve">und Geldmarktinstrumente einschließlich der in Pension genommenen Wertpapiere und Geldmarktinstrumente desselben </w:t>
      </w:r>
      <w:r w:rsidR="00BF6F51" w:rsidRPr="009F44C6">
        <w:t xml:space="preserve">Emittenten </w:t>
      </w:r>
      <w:r w:rsidRPr="009F44C6">
        <w:t xml:space="preserve">bis zu 10% des Wertes des </w:t>
      </w:r>
      <w:r w:rsidR="00E741CE" w:rsidRPr="009F44C6">
        <w:t>Sondervermögen</w:t>
      </w:r>
      <w:r w:rsidRPr="009F44C6">
        <w:t xml:space="preserve">s </w:t>
      </w:r>
      <w:r w:rsidR="00D40A32">
        <w:t>erwerben</w:t>
      </w:r>
      <w:r w:rsidRPr="009F44C6">
        <w:t>; dabei darf der Gesamtwert der Wertpapiere und Geldmarkti</w:t>
      </w:r>
      <w:r w:rsidR="00002A09" w:rsidRPr="009F44C6">
        <w:t xml:space="preserve">nstrumente dieser </w:t>
      </w:r>
      <w:r w:rsidR="00954BDE" w:rsidRPr="009F44C6">
        <w:t>Emittent</w:t>
      </w:r>
      <w:r w:rsidR="002A2AC0" w:rsidRPr="009F44C6">
        <w:rPr>
          <w:color w:val="1F497D"/>
        </w:rPr>
        <w:t>en</w:t>
      </w:r>
      <w:r w:rsidR="00954BDE" w:rsidRPr="009F44C6">
        <w:t xml:space="preserve"> </w:t>
      </w:r>
      <w:r w:rsidR="00002A09" w:rsidRPr="009F44C6">
        <w:t>40</w:t>
      </w:r>
      <w:r w:rsidRPr="009F44C6">
        <w:t xml:space="preserve">% des Wertes des </w:t>
      </w:r>
      <w:r w:rsidR="00E741CE" w:rsidRPr="009F44C6">
        <w:t>Sondervermögen</w:t>
      </w:r>
      <w:r w:rsidRPr="009F44C6">
        <w:t xml:space="preserve">s nicht übersteigen. </w:t>
      </w:r>
      <w:r w:rsidR="006F727B" w:rsidRPr="0039305E">
        <w:t xml:space="preserve">Die Emittenten von Wertpapieren und Geldmarktinstrumenten sind auch dann im Rahmen der in Satz 1 genannten Grenzen zu berücksichtigen, wenn die </w:t>
      </w:r>
      <w:proofErr w:type="gramStart"/>
      <w:r w:rsidR="006F727B" w:rsidRPr="0039305E">
        <w:t>von diesen emittierten Wertpapiere</w:t>
      </w:r>
      <w:proofErr w:type="gramEnd"/>
      <w:r w:rsidR="006F727B" w:rsidRPr="0039305E">
        <w:t xml:space="preserve"> und Geldmarktinstrumente mittelbar über andere im </w:t>
      </w:r>
      <w:r w:rsidR="00600667">
        <w:t>Sondervermögen</w:t>
      </w:r>
      <w:r w:rsidR="006F727B" w:rsidRPr="0039305E">
        <w:t xml:space="preserve"> enthaltenen Wertpapiere, die an deren Wertentwicklung gekoppelt sind, erworben werden.</w:t>
      </w:r>
    </w:p>
    <w:p w14:paraId="35A72996" w14:textId="77777777" w:rsidR="002842C9" w:rsidRPr="009F44C6" w:rsidRDefault="002842C9">
      <w:r w:rsidRPr="009F44C6">
        <w:t>5. Bei ein und derselben E</w:t>
      </w:r>
      <w:r w:rsidR="00002A09" w:rsidRPr="009F44C6">
        <w:t>inrichtung dürfen nur bis zu 20</w:t>
      </w:r>
      <w:r w:rsidRPr="009F44C6">
        <w:t xml:space="preserve">% des Wertes des </w:t>
      </w:r>
      <w:r w:rsidR="00E741CE" w:rsidRPr="009F44C6">
        <w:t>Sondervermögen</w:t>
      </w:r>
      <w:r w:rsidRPr="009F44C6">
        <w:t>s in eine Kombination angelegt werden</w:t>
      </w:r>
    </w:p>
    <w:p w14:paraId="68F34145" w14:textId="77777777" w:rsidR="002842C9" w:rsidRPr="009F44C6" w:rsidRDefault="002842C9" w:rsidP="00112F77">
      <w:pPr>
        <w:numPr>
          <w:ilvl w:val="0"/>
          <w:numId w:val="3"/>
        </w:numPr>
        <w:spacing w:after="120"/>
        <w:ind w:left="703" w:hanging="703"/>
      </w:pPr>
      <w:r w:rsidRPr="009F44C6">
        <w:t xml:space="preserve">von </w:t>
      </w:r>
      <w:r w:rsidR="008C589F" w:rsidRPr="009F44C6">
        <w:t xml:space="preserve">durch </w:t>
      </w:r>
      <w:r w:rsidRPr="009F44C6">
        <w:t>diese Einrichtung begebene Wertpapiere oder Geldmarktinstrumente,</w:t>
      </w:r>
    </w:p>
    <w:p w14:paraId="571BF5D7" w14:textId="77777777" w:rsidR="002842C9" w:rsidRPr="009F44C6" w:rsidRDefault="008C589F" w:rsidP="00112F77">
      <w:pPr>
        <w:numPr>
          <w:ilvl w:val="0"/>
          <w:numId w:val="3"/>
        </w:numPr>
        <w:spacing w:after="120"/>
        <w:ind w:left="703" w:hanging="703"/>
      </w:pPr>
      <w:r w:rsidRPr="009F44C6">
        <w:lastRenderedPageBreak/>
        <w:t xml:space="preserve">von </w:t>
      </w:r>
      <w:r w:rsidR="00955755" w:rsidRPr="009F44C6">
        <w:t>Einlag</w:t>
      </w:r>
      <w:r w:rsidR="002842C9" w:rsidRPr="009F44C6">
        <w:t>en bei dieser Einrichtung,</w:t>
      </w:r>
    </w:p>
    <w:p w14:paraId="66B32A05" w14:textId="77777777" w:rsidR="002842C9" w:rsidRPr="009F44C6" w:rsidRDefault="008C589F">
      <w:pPr>
        <w:numPr>
          <w:ilvl w:val="0"/>
          <w:numId w:val="3"/>
        </w:numPr>
      </w:pPr>
      <w:r w:rsidRPr="009F44C6">
        <w:t xml:space="preserve">von </w:t>
      </w:r>
      <w:r w:rsidR="00955755" w:rsidRPr="009F44C6">
        <w:t>Anrechnungsbeträge</w:t>
      </w:r>
      <w:r w:rsidRPr="009F44C6">
        <w:t>n</w:t>
      </w:r>
      <w:r w:rsidR="00955755" w:rsidRPr="009F44C6">
        <w:t xml:space="preserve"> für das </w:t>
      </w:r>
      <w:proofErr w:type="spellStart"/>
      <w:r w:rsidR="00955755" w:rsidRPr="009F44C6">
        <w:t>Kontrahentenrisiko</w:t>
      </w:r>
      <w:proofErr w:type="spellEnd"/>
      <w:r w:rsidR="00955755" w:rsidRPr="009F44C6">
        <w:t xml:space="preserve"> der mit dieser Einrichtung eingegangenen Geschäfte</w:t>
      </w:r>
      <w:r w:rsidR="002842C9" w:rsidRPr="009F44C6">
        <w:t>.</w:t>
      </w:r>
    </w:p>
    <w:p w14:paraId="025FF7C2" w14:textId="77777777" w:rsidR="002842C9" w:rsidRPr="009F44C6" w:rsidRDefault="00465B62">
      <w:pPr>
        <w:spacing w:after="0"/>
      </w:pPr>
      <w:r w:rsidRPr="009F44C6">
        <w:t>Für die in Abs</w:t>
      </w:r>
      <w:r w:rsidR="00F82C30" w:rsidRPr="009F44C6">
        <w:t>atz</w:t>
      </w:r>
      <w:r w:rsidRPr="009F44C6">
        <w:t xml:space="preserve"> 6 genannten Emittenten </w:t>
      </w:r>
      <w:r w:rsidR="00B56556" w:rsidRPr="009F44C6">
        <w:t xml:space="preserve">und Garantiegeber </w:t>
      </w:r>
      <w:r w:rsidRPr="009F44C6">
        <w:t xml:space="preserve">gilt </w:t>
      </w:r>
      <w:r w:rsidR="00A213DD" w:rsidRPr="009F44C6">
        <w:t>Satz 1</w:t>
      </w:r>
      <w:r w:rsidRPr="009F44C6">
        <w:t xml:space="preserve"> mit der Maßgabe, dass eine Kombination der genannten Vermögensgegens</w:t>
      </w:r>
      <w:r w:rsidR="00002A09" w:rsidRPr="009F44C6">
        <w:t>tände und Anrechnungsbeträge 35</w:t>
      </w:r>
      <w:r w:rsidRPr="009F44C6">
        <w:t xml:space="preserve">% des Wertes des </w:t>
      </w:r>
      <w:r w:rsidR="00E741CE" w:rsidRPr="009F44C6">
        <w:t>Sondervermögen</w:t>
      </w:r>
      <w:r w:rsidRPr="009F44C6">
        <w:t xml:space="preserve">s nicht übersteigen darf. </w:t>
      </w:r>
      <w:r w:rsidR="002842C9" w:rsidRPr="009F44C6">
        <w:t>Die jeweiligen Einzelobergrenzen bleiben unberührt.</w:t>
      </w:r>
    </w:p>
    <w:p w14:paraId="36B07D35" w14:textId="77777777" w:rsidR="002842C9" w:rsidRPr="009F44C6" w:rsidRDefault="002842C9">
      <w:pPr>
        <w:spacing w:after="0"/>
      </w:pPr>
    </w:p>
    <w:p w14:paraId="7F9EEDC0" w14:textId="41E49570" w:rsidR="00601943" w:rsidRDefault="002842C9" w:rsidP="00E2381D">
      <w:r w:rsidRPr="009F44C6">
        <w:t>6. Die Gesellschaft darf in Schuldverschreibungen</w:t>
      </w:r>
      <w:r w:rsidR="00F51D48" w:rsidRPr="009F44C6">
        <w:t xml:space="preserve"> und Geld</w:t>
      </w:r>
      <w:r w:rsidR="003505AB" w:rsidRPr="009F44C6">
        <w:t>m</w:t>
      </w:r>
      <w:r w:rsidR="00F51D48" w:rsidRPr="009F44C6">
        <w:t>arktinstrumente</w:t>
      </w:r>
      <w:r w:rsidRPr="009F44C6">
        <w:t xml:space="preserve">, die vom Bund, einem Land, </w:t>
      </w:r>
      <w:r w:rsidR="00D97DA2" w:rsidRPr="009F44C6">
        <w:t xml:space="preserve">der </w:t>
      </w:r>
      <w:r w:rsidRPr="009F44C6">
        <w:t xml:space="preserve">Europäischen </w:t>
      </w:r>
      <w:r w:rsidR="00D97DA2" w:rsidRPr="009F44C6">
        <w:t>Union</w:t>
      </w:r>
      <w:r w:rsidRPr="009F44C6">
        <w:t>, einem Mitgliedstaat der Europäischen Union</w:t>
      </w:r>
      <w:r w:rsidR="00F51D48" w:rsidRPr="009F44C6">
        <w:t xml:space="preserve"> oder seinen Gebietskörperschaften</w:t>
      </w:r>
      <w:r w:rsidRPr="009F44C6">
        <w:t>, einem anderen Vertragsstaat des Abkommens über den Europäischen Wirtschaftsraum</w:t>
      </w:r>
      <w:r w:rsidR="00F51D48" w:rsidRPr="009F44C6">
        <w:t>,</w:t>
      </w:r>
      <w:r w:rsidRPr="009F44C6">
        <w:t xml:space="preserve"> einem </w:t>
      </w:r>
      <w:r w:rsidR="00F51D48" w:rsidRPr="009F44C6">
        <w:t>Dritts</w:t>
      </w:r>
      <w:r w:rsidRPr="009F44C6">
        <w:t xml:space="preserve">taat </w:t>
      </w:r>
      <w:r w:rsidR="00F51D48" w:rsidRPr="009F44C6">
        <w:t>o</w:t>
      </w:r>
      <w:r w:rsidRPr="009F44C6">
        <w:t xml:space="preserve">der </w:t>
      </w:r>
      <w:r w:rsidR="00F51D48" w:rsidRPr="009F44C6">
        <w:t xml:space="preserve">von einer internationalen </w:t>
      </w:r>
      <w:r w:rsidRPr="009F44C6">
        <w:t>Organisation</w:t>
      </w:r>
      <w:r w:rsidR="00F51D48" w:rsidRPr="009F44C6">
        <w:t>,</w:t>
      </w:r>
      <w:r w:rsidRPr="009F44C6">
        <w:t xml:space="preserve"> </w:t>
      </w:r>
      <w:r w:rsidR="00F51D48" w:rsidRPr="009F44C6">
        <w:t>der mindestens ein Mitgliedstaat der Europäi</w:t>
      </w:r>
      <w:r w:rsidR="005E1856" w:rsidRPr="009F44C6">
        <w:t>s</w:t>
      </w:r>
      <w:r w:rsidR="00F51D48" w:rsidRPr="009F44C6">
        <w:t>chen Union angehört</w:t>
      </w:r>
      <w:r w:rsidRPr="009F44C6">
        <w:t>, ausgegeben oder garantiert</w:t>
      </w:r>
      <w:r w:rsidR="00002A09" w:rsidRPr="009F44C6">
        <w:t xml:space="preserve"> worden sind, jeweils bis zu 35</w:t>
      </w:r>
      <w:r w:rsidRPr="009F44C6">
        <w:t xml:space="preserve">% des Wertes des </w:t>
      </w:r>
      <w:r w:rsidR="00E741CE" w:rsidRPr="009F44C6">
        <w:t>Sondervermögen</w:t>
      </w:r>
      <w:r w:rsidRPr="009F44C6">
        <w:t>s anlegen.</w:t>
      </w:r>
    </w:p>
    <w:p w14:paraId="7372AAE4" w14:textId="48D026DE" w:rsidR="00601943" w:rsidRDefault="00601943" w:rsidP="00E2381D">
      <w:r>
        <w:t>7. Die Gesellschaft darf je Emittent bis zu 25% des Wertes des So</w:t>
      </w:r>
      <w:r w:rsidR="000C0AD2">
        <w:t>n</w:t>
      </w:r>
      <w:r>
        <w:t>dervermögens anlegen in</w:t>
      </w:r>
    </w:p>
    <w:p w14:paraId="7A37A7D0" w14:textId="6673053A" w:rsidR="006C5FFD" w:rsidRDefault="00601943" w:rsidP="00E2381D">
      <w:r>
        <w:t>a)</w:t>
      </w:r>
      <w:r w:rsidR="00FC096B">
        <w:t xml:space="preserve"> </w:t>
      </w:r>
      <w:r w:rsidR="002842C9" w:rsidRPr="009F44C6">
        <w:t xml:space="preserve">Pfandbriefe und Kommunalschuldverschreibungen sowie Schuldverschreibungen, die von Kreditinstituten mit Sitz in einem Mitgliedstaat der Europäischen Union oder in einem anderen Vertragsstaat des Abkommens über den Europäischen Wirtschaftsraum </w:t>
      </w:r>
      <w:r w:rsidR="006533FA" w:rsidRPr="006533FA">
        <w:t xml:space="preserve">vor dem 8. Juli 2022 </w:t>
      </w:r>
      <w:r w:rsidR="002842C9" w:rsidRPr="009F44C6">
        <w:t xml:space="preserve">ausgegeben worden sind, wenn die Kreditinstitute auf Grund gesetzlicher Vorschriften zum Schutz der Inhaber dieser Schuldverschreibungen einer besonderen öffentlichen Aufsicht unterliegen und die mit der Ausgabe der Schuldverschreibungen aufgenommenen Mittel nach den gesetzlichen Vorschriften in Vermögenswerten angelegt werden, die während der gesamten Laufzeit der Schuldverschreibungen die sich aus ihnen ergebenden Verbindlichkeiten ausreichend decken und die bei einem Ausfall des </w:t>
      </w:r>
      <w:r w:rsidR="002B489B" w:rsidRPr="009F44C6">
        <w:t xml:space="preserve">Emittenten </w:t>
      </w:r>
      <w:r w:rsidR="002842C9" w:rsidRPr="009F44C6">
        <w:t>vorrangig für die fällig werdenden Rückzahlungen und die Zahlung der Zinsen bestimmt sind</w:t>
      </w:r>
      <w:r w:rsidR="006C5FFD">
        <w:t>,</w:t>
      </w:r>
    </w:p>
    <w:p w14:paraId="46690B2D" w14:textId="547A2DFE" w:rsidR="00E2381D" w:rsidRDefault="006C5FFD" w:rsidP="00E2381D">
      <w:r>
        <w:lastRenderedPageBreak/>
        <w:t>b)</w:t>
      </w:r>
      <w:r w:rsidR="006533FA">
        <w:t xml:space="preserve"> </w:t>
      </w:r>
      <w:r w:rsidR="006533FA" w:rsidRPr="006533FA">
        <w:t>gedeckte Schuldverschreibungen im Sinne des Artikels 3 Nummer 1 der Richtlinie (EU) 2019/2162 des Europäischen Parlaments und des Rates vom 27. November 2019 über die Emission gedeckter Schuldverschreibungen und die öffentliche Aufsicht über gedeckte Schuldverschreibungen und zur Änderung der Richtlinien 2009/65/EG und 2014/59/EU (</w:t>
      </w:r>
      <w:proofErr w:type="spellStart"/>
      <w:r w:rsidR="006533FA" w:rsidRPr="006533FA">
        <w:t>ABl.</w:t>
      </w:r>
      <w:proofErr w:type="spellEnd"/>
      <w:r w:rsidR="006533FA" w:rsidRPr="006533FA">
        <w:t xml:space="preserve"> L 328 vom 18.12.2019, S. 29), die nach dem 7. Juli 2022 begeben wurden</w:t>
      </w:r>
      <w:r>
        <w:t>.</w:t>
      </w:r>
      <w:r w:rsidR="00E2381D" w:rsidRPr="00E2381D">
        <w:t xml:space="preserve"> </w:t>
      </w:r>
    </w:p>
    <w:p w14:paraId="05E958ED" w14:textId="659C8079" w:rsidR="00865D80" w:rsidRPr="009F44C6" w:rsidRDefault="006C5FFD" w:rsidP="00865D80">
      <w:pPr>
        <w:rPr>
          <w:rFonts w:cs="Arial"/>
        </w:rPr>
      </w:pPr>
      <w:r>
        <w:t>8</w:t>
      </w:r>
      <w:r w:rsidR="00865D80" w:rsidRPr="009F44C6">
        <w:t xml:space="preserve">. </w:t>
      </w:r>
      <w:r w:rsidR="00865D80" w:rsidRPr="009F44C6">
        <w:rPr>
          <w:rFonts w:cs="Arial"/>
        </w:rPr>
        <w:t xml:space="preserve">Die Gesellschaft darf in Anteilen an Investmentvermögen nach Maßgabe des Absatzes 2 Buchstabe d) anlegen, </w:t>
      </w:r>
      <w:r w:rsidR="005B1DA4" w:rsidRPr="009F44C6">
        <w:rPr>
          <w:rFonts w:cs="Arial"/>
        </w:rPr>
        <w:t>wenn</w:t>
      </w:r>
      <w:r w:rsidR="00865D80" w:rsidRPr="009F44C6">
        <w:rPr>
          <w:rFonts w:cs="Arial"/>
        </w:rPr>
        <w:t xml:space="preserve"> </w:t>
      </w:r>
      <w:r w:rsidR="00BA7960" w:rsidRPr="009F44C6">
        <w:rPr>
          <w:rFonts w:cs="Arial"/>
        </w:rPr>
        <w:t>i</w:t>
      </w:r>
      <w:r w:rsidR="00865D80" w:rsidRPr="009F44C6">
        <w:rPr>
          <w:rFonts w:cs="Arial"/>
        </w:rPr>
        <w:t xml:space="preserve">m Hinblick auf solche Anteile folgende Voraussetzungen </w:t>
      </w:r>
      <w:proofErr w:type="gramStart"/>
      <w:r w:rsidR="00865D80" w:rsidRPr="009F44C6">
        <w:rPr>
          <w:rFonts w:cs="Arial"/>
        </w:rPr>
        <w:t>erfüllt</w:t>
      </w:r>
      <w:proofErr w:type="gramEnd"/>
      <w:r w:rsidR="00865D80" w:rsidRPr="009F44C6">
        <w:rPr>
          <w:rFonts w:cs="Arial"/>
        </w:rPr>
        <w:t xml:space="preserve"> sind:</w:t>
      </w:r>
    </w:p>
    <w:p w14:paraId="64052E86" w14:textId="77777777" w:rsidR="00865D80" w:rsidRPr="009F44C6" w:rsidRDefault="000A2FE8" w:rsidP="00865D80">
      <w:pPr>
        <w:rPr>
          <w:rFonts w:cs="Arial"/>
        </w:rPr>
      </w:pPr>
      <w:r w:rsidRPr="009F44C6">
        <w:rPr>
          <w:rFonts w:cs="Arial"/>
        </w:rPr>
        <w:t xml:space="preserve">(a) </w:t>
      </w:r>
      <w:r w:rsidR="00865D80" w:rsidRPr="009F44C6">
        <w:rPr>
          <w:rFonts w:cs="Arial"/>
        </w:rPr>
        <w:t xml:space="preserve">Der OGAW, der AIF oder der Verwalter des AIF, an dem die Anteile erworben werden, unterliegt in seinem Sitzstaat der Aufsicht über Vermögen zur gemeinschaftlichen Kapitalanlage. </w:t>
      </w:r>
      <w:r w:rsidR="008204AE">
        <w:rPr>
          <w:rFonts w:cs="Arial"/>
        </w:rPr>
        <w:t xml:space="preserve">[optional: </w:t>
      </w:r>
      <w:r w:rsidR="00865D80" w:rsidRPr="009F44C6">
        <w:rPr>
          <w:rFonts w:cs="Arial"/>
        </w:rPr>
        <w:t xml:space="preserve">Der Geschäftszweck des </w:t>
      </w:r>
      <w:r w:rsidR="006D03B1" w:rsidRPr="009F44C6">
        <w:rPr>
          <w:rFonts w:cs="Arial"/>
        </w:rPr>
        <w:t xml:space="preserve">jeweiligen Investmentvermögens </w:t>
      </w:r>
      <w:r w:rsidR="00865D80" w:rsidRPr="009F44C6">
        <w:rPr>
          <w:rFonts w:cs="Arial"/>
        </w:rPr>
        <w:t xml:space="preserve">ist auf die Kapitalanlage gemäß einer festgelegten Anlagestrategie im Rahmen einer kollektiven Vermögensverwaltung mittels der bei ihm eingelegten Mittel beschränkt; eine operative Tätigkeit und eine aktive unternehmerische Bewirtschaftung der gehaltenen Vermögensgegenstände </w:t>
      </w:r>
      <w:proofErr w:type="gramStart"/>
      <w:r w:rsidR="00865D80" w:rsidRPr="009F44C6">
        <w:rPr>
          <w:rFonts w:cs="Arial"/>
        </w:rPr>
        <w:t>ist</w:t>
      </w:r>
      <w:proofErr w:type="gramEnd"/>
      <w:r w:rsidR="00865D80" w:rsidRPr="009F44C6">
        <w:rPr>
          <w:rFonts w:cs="Arial"/>
        </w:rPr>
        <w:t xml:space="preserve"> ausgeschlossen.</w:t>
      </w:r>
      <w:r w:rsidR="00EB7A6F" w:rsidRPr="009F44C6">
        <w:rPr>
          <w:rFonts w:cs="Arial"/>
        </w:rPr>
        <w:t xml:space="preserve"> Eine aktive unternehmerische Bewirtschaftung ist bei Beteiligungen an Immobilien-Gesellschaften im Sinne des § 1 Absatz 19 Nummer 22 KAGB nicht schädlich.</w:t>
      </w:r>
      <w:r w:rsidR="00247A20">
        <w:rPr>
          <w:rFonts w:cs="Arial"/>
        </w:rPr>
        <w:t>]</w:t>
      </w:r>
    </w:p>
    <w:p w14:paraId="35D6ADE3" w14:textId="77777777" w:rsidR="00865D80" w:rsidRPr="009F44C6" w:rsidRDefault="000A2FE8" w:rsidP="00865D80">
      <w:pPr>
        <w:rPr>
          <w:rFonts w:cs="Arial"/>
        </w:rPr>
      </w:pPr>
      <w:r w:rsidRPr="009F44C6">
        <w:rPr>
          <w:rFonts w:cs="Arial"/>
        </w:rPr>
        <w:t xml:space="preserve">(b) </w:t>
      </w:r>
      <w:r w:rsidR="00865D80" w:rsidRPr="009F44C6">
        <w:rPr>
          <w:rFonts w:cs="Arial"/>
        </w:rPr>
        <w:t>Die Anleger können grundsätzlich jederzeit das Recht zur Rückgabe ihrer Anteile ausüben.</w:t>
      </w:r>
    </w:p>
    <w:p w14:paraId="07D9A3D4" w14:textId="77777777" w:rsidR="00865D80" w:rsidRPr="009F44C6" w:rsidRDefault="000A2FE8" w:rsidP="00865D80">
      <w:pPr>
        <w:rPr>
          <w:rFonts w:cs="Arial"/>
        </w:rPr>
      </w:pPr>
      <w:r w:rsidRPr="009F44C6">
        <w:rPr>
          <w:rFonts w:cs="Arial"/>
        </w:rPr>
        <w:t xml:space="preserve">(c) </w:t>
      </w:r>
      <w:r w:rsidR="00865D80" w:rsidRPr="009F44C6">
        <w:rPr>
          <w:rFonts w:cs="Arial"/>
        </w:rPr>
        <w:t xml:space="preserve">Das jeweilige Investmentvermögen wird unmittelbar oder mittelbar nach dem Grundsatz der Risikomischung angelegt. </w:t>
      </w:r>
    </w:p>
    <w:p w14:paraId="436E9EA2" w14:textId="77777777" w:rsidR="00865D80" w:rsidRPr="009F44C6" w:rsidRDefault="000A2FE8" w:rsidP="00865D80">
      <w:pPr>
        <w:rPr>
          <w:rFonts w:cs="Arial"/>
        </w:rPr>
      </w:pPr>
      <w:r w:rsidRPr="009F44C6">
        <w:rPr>
          <w:rFonts w:cs="Arial"/>
        </w:rPr>
        <w:t xml:space="preserve">(d) </w:t>
      </w:r>
      <w:r w:rsidR="00865D80" w:rsidRPr="009F44C6">
        <w:rPr>
          <w:rFonts w:cs="Arial"/>
        </w:rPr>
        <w:t>Die Vermögensanlage der jeweiligen Investmentvermögen erfolgt zu mindestens 90</w:t>
      </w:r>
      <w:r w:rsidR="008204AE">
        <w:rPr>
          <w:rFonts w:cs="Arial"/>
        </w:rPr>
        <w:t xml:space="preserve">% </w:t>
      </w:r>
      <w:r w:rsidR="00865D80" w:rsidRPr="009F44C6">
        <w:rPr>
          <w:rFonts w:cs="Arial"/>
        </w:rPr>
        <w:t>in die folgenden Vermögensgegenstände:</w:t>
      </w:r>
    </w:p>
    <w:p w14:paraId="05C8838C" w14:textId="77777777" w:rsidR="00865D80" w:rsidRPr="009F44C6" w:rsidRDefault="00865D80" w:rsidP="00865D80">
      <w:pPr>
        <w:rPr>
          <w:rFonts w:cs="Arial"/>
        </w:rPr>
      </w:pPr>
      <w:proofErr w:type="spellStart"/>
      <w:r w:rsidRPr="009F44C6">
        <w:rPr>
          <w:rFonts w:cs="Arial"/>
        </w:rPr>
        <w:t>a</w:t>
      </w:r>
      <w:r w:rsidR="00BF2BD9" w:rsidRPr="009F44C6">
        <w:rPr>
          <w:rFonts w:cs="Arial"/>
        </w:rPr>
        <w:t>a</w:t>
      </w:r>
      <w:proofErr w:type="spellEnd"/>
      <w:r w:rsidRPr="009F44C6">
        <w:rPr>
          <w:rFonts w:cs="Arial"/>
        </w:rPr>
        <w:t>) Wertpapiere</w:t>
      </w:r>
      <w:r w:rsidR="005B1DA4" w:rsidRPr="009F44C6">
        <w:t xml:space="preserve"> </w:t>
      </w:r>
      <w:r w:rsidR="005B1DA4" w:rsidRPr="009F44C6">
        <w:rPr>
          <w:rFonts w:cs="Arial"/>
        </w:rPr>
        <w:t>i</w:t>
      </w:r>
      <w:r w:rsidR="00FF64E4" w:rsidRPr="009F44C6">
        <w:rPr>
          <w:rFonts w:cs="Arial"/>
        </w:rPr>
        <w:t xml:space="preserve">m Sinne des § </w:t>
      </w:r>
      <w:r w:rsidR="005B1DA4" w:rsidRPr="009F44C6">
        <w:rPr>
          <w:rFonts w:cs="Arial"/>
        </w:rPr>
        <w:t>193 KAGB</w:t>
      </w:r>
      <w:r w:rsidRPr="009F44C6">
        <w:rPr>
          <w:rFonts w:cs="Arial"/>
        </w:rPr>
        <w:t xml:space="preserve">, </w:t>
      </w:r>
    </w:p>
    <w:p w14:paraId="786B4B67" w14:textId="77777777" w:rsidR="00865D80" w:rsidRPr="009F44C6" w:rsidRDefault="00865D80" w:rsidP="00865D80">
      <w:pPr>
        <w:rPr>
          <w:rFonts w:cs="Arial"/>
        </w:rPr>
      </w:pPr>
      <w:proofErr w:type="spellStart"/>
      <w:r w:rsidRPr="009F44C6">
        <w:rPr>
          <w:rFonts w:cs="Arial"/>
        </w:rPr>
        <w:lastRenderedPageBreak/>
        <w:t>b</w:t>
      </w:r>
      <w:r w:rsidR="00BF2BD9" w:rsidRPr="009F44C6">
        <w:rPr>
          <w:rFonts w:cs="Arial"/>
        </w:rPr>
        <w:t>b</w:t>
      </w:r>
      <w:proofErr w:type="spellEnd"/>
      <w:r w:rsidRPr="009F44C6">
        <w:rPr>
          <w:rFonts w:cs="Arial"/>
        </w:rPr>
        <w:t xml:space="preserve">) Geldmarktinstrumente, </w:t>
      </w:r>
    </w:p>
    <w:p w14:paraId="47389B70" w14:textId="77777777" w:rsidR="00865D80" w:rsidRPr="009F44C6" w:rsidRDefault="00FB275B" w:rsidP="00865D80">
      <w:pPr>
        <w:rPr>
          <w:rFonts w:cs="Arial"/>
        </w:rPr>
      </w:pPr>
      <w:r w:rsidRPr="009F44C6">
        <w:rPr>
          <w:rFonts w:cs="Arial"/>
        </w:rPr>
        <w:t>c</w:t>
      </w:r>
      <w:r w:rsidR="00BF2BD9" w:rsidRPr="009F44C6">
        <w:rPr>
          <w:rFonts w:cs="Arial"/>
        </w:rPr>
        <w:t>c</w:t>
      </w:r>
      <w:r w:rsidR="00865D80" w:rsidRPr="009F44C6">
        <w:rPr>
          <w:rFonts w:cs="Arial"/>
        </w:rPr>
        <w:t>) Bankguthaben</w:t>
      </w:r>
      <w:r w:rsidRPr="009F44C6">
        <w:rPr>
          <w:rFonts w:cs="Arial"/>
        </w:rPr>
        <w:t>.</w:t>
      </w:r>
      <w:r w:rsidR="00865D80" w:rsidRPr="009F44C6">
        <w:rPr>
          <w:rFonts w:cs="Arial"/>
        </w:rPr>
        <w:t xml:space="preserve"> </w:t>
      </w:r>
    </w:p>
    <w:p w14:paraId="61AFFC9D" w14:textId="77777777" w:rsidR="00D43AD6" w:rsidRPr="009F44C6" w:rsidRDefault="00D43AD6" w:rsidP="00865D80">
      <w:pPr>
        <w:rPr>
          <w:rFonts w:cs="Arial"/>
        </w:rPr>
      </w:pPr>
      <w:r w:rsidRPr="009F44C6">
        <w:rPr>
          <w:rFonts w:cs="Arial"/>
        </w:rPr>
        <w:t>(e) Die Höhe der Beteiligung an einer Kapitalgesellschaft muss unter 10</w:t>
      </w:r>
      <w:r w:rsidR="00FD3F36" w:rsidRPr="009F44C6">
        <w:rPr>
          <w:rFonts w:cs="Arial"/>
        </w:rPr>
        <w:t>%</w:t>
      </w:r>
      <w:r w:rsidRPr="009F44C6">
        <w:rPr>
          <w:rFonts w:cs="Arial"/>
        </w:rPr>
        <w:t xml:space="preserve"> des Kapitals des jeweiligen Unternehmens liegen; dies gilt nicht für Beteiligungen an Immobilien-Gesellschaften</w:t>
      </w:r>
      <w:r w:rsidR="00610454" w:rsidRPr="009F44C6">
        <w:rPr>
          <w:rFonts w:cs="Arial"/>
        </w:rPr>
        <w:t>.</w:t>
      </w:r>
    </w:p>
    <w:p w14:paraId="377B0693" w14:textId="77777777" w:rsidR="00865D80" w:rsidRPr="009F44C6" w:rsidRDefault="00D43AD6" w:rsidP="00865D80">
      <w:pPr>
        <w:rPr>
          <w:rFonts w:cs="Arial"/>
        </w:rPr>
      </w:pPr>
      <w:r w:rsidRPr="009F44C6">
        <w:rPr>
          <w:rFonts w:cs="Arial"/>
        </w:rPr>
        <w:t>(f</w:t>
      </w:r>
      <w:r w:rsidR="000A2FE8" w:rsidRPr="009F44C6">
        <w:rPr>
          <w:rFonts w:cs="Arial"/>
        </w:rPr>
        <w:t xml:space="preserve">) </w:t>
      </w:r>
      <w:r w:rsidR="00865D80" w:rsidRPr="009F44C6">
        <w:rPr>
          <w:rFonts w:cs="Arial"/>
        </w:rPr>
        <w:t xml:space="preserve">Ein Kredit darf nur kurzfristig und nur bis zur Höhe von </w:t>
      </w:r>
      <w:r w:rsidR="006D03B1" w:rsidRPr="009F44C6">
        <w:rPr>
          <w:rFonts w:cs="Arial"/>
        </w:rPr>
        <w:t>10</w:t>
      </w:r>
      <w:r w:rsidR="00FD3F36" w:rsidRPr="009F44C6">
        <w:rPr>
          <w:rFonts w:cs="Arial"/>
        </w:rPr>
        <w:t>%</w:t>
      </w:r>
      <w:r w:rsidR="006D03B1" w:rsidRPr="009F44C6">
        <w:rPr>
          <w:rFonts w:cs="Arial"/>
        </w:rPr>
        <w:t xml:space="preserve"> </w:t>
      </w:r>
      <w:r w:rsidR="00865D80" w:rsidRPr="009F44C6">
        <w:rPr>
          <w:rFonts w:cs="Arial"/>
        </w:rPr>
        <w:t xml:space="preserve">des Wertes des jeweiligen Investmentvermögens aufgenommen werden. </w:t>
      </w:r>
    </w:p>
    <w:p w14:paraId="05B812B1" w14:textId="6A30A2FD" w:rsidR="002842C9" w:rsidRPr="009F44C6" w:rsidRDefault="006C5FFD">
      <w:r>
        <w:t>9</w:t>
      </w:r>
      <w:r w:rsidR="002842C9" w:rsidRPr="009F44C6">
        <w:t xml:space="preserve">. Die Grenze in Absatz </w:t>
      </w:r>
      <w:r w:rsidR="00BE36F5">
        <w:t>6</w:t>
      </w:r>
      <w:r w:rsidR="002842C9" w:rsidRPr="009F44C6">
        <w:t xml:space="preserve"> darf für Wertpapiere und Geldmarktinstrumen</w:t>
      </w:r>
      <w:r w:rsidR="00105533" w:rsidRPr="009F44C6">
        <w:t xml:space="preserve">te </w:t>
      </w:r>
      <w:r w:rsidR="002842C9" w:rsidRPr="009F44C6">
        <w:t xml:space="preserve">desselben </w:t>
      </w:r>
      <w:r w:rsidR="00954BDE" w:rsidRPr="009F44C6">
        <w:t xml:space="preserve">Emittenten </w:t>
      </w:r>
      <w:r w:rsidR="002842C9" w:rsidRPr="009F44C6">
        <w:t xml:space="preserve">nach Maßgabe </w:t>
      </w:r>
      <w:r w:rsidR="008C5C00">
        <w:t>des § 206 Abs. 2</w:t>
      </w:r>
      <w:r w:rsidR="00BE2188" w:rsidRPr="009F44C6">
        <w:t xml:space="preserve"> KAGB </w:t>
      </w:r>
      <w:r w:rsidR="002842C9" w:rsidRPr="009F44C6">
        <w:t xml:space="preserve">überschritten werden, sofern die Besonderen </w:t>
      </w:r>
      <w:r w:rsidR="00BE2188" w:rsidRPr="009F44C6">
        <w:t>Anlagebedingungen</w:t>
      </w:r>
      <w:r w:rsidR="002842C9" w:rsidRPr="009F44C6">
        <w:t xml:space="preserve"> dies unter Angabe </w:t>
      </w:r>
      <w:r w:rsidR="008C5C00" w:rsidRPr="009F44C6">
        <w:t>de</w:t>
      </w:r>
      <w:r w:rsidR="008C5C00">
        <w:t xml:space="preserve">r betreffenden </w:t>
      </w:r>
      <w:r w:rsidR="00954BDE" w:rsidRPr="009F44C6">
        <w:t>Emittenten</w:t>
      </w:r>
      <w:r w:rsidR="002842C9" w:rsidRPr="009F44C6">
        <w:t xml:space="preserve"> vorsehen. In diesen Fällen </w:t>
      </w:r>
      <w:proofErr w:type="gramStart"/>
      <w:r w:rsidR="002842C9" w:rsidRPr="009F44C6">
        <w:t>müssen</w:t>
      </w:r>
      <w:proofErr w:type="gramEnd"/>
      <w:r w:rsidR="002842C9" w:rsidRPr="009F44C6">
        <w:t xml:space="preserve"> die für Rechnung des </w:t>
      </w:r>
      <w:r w:rsidR="00E741CE" w:rsidRPr="009F44C6">
        <w:t>Sondervermögen</w:t>
      </w:r>
      <w:r w:rsidR="002842C9" w:rsidRPr="009F44C6">
        <w:t>s gehaltenen Wertpapiere und Geldmarktinstrumente aus mindestens sechs verschiedenen Emissionen s</w:t>
      </w:r>
      <w:r w:rsidR="00002A09" w:rsidRPr="009F44C6">
        <w:t>tammen, wobei nicht mehr als 30</w:t>
      </w:r>
      <w:r w:rsidR="002842C9" w:rsidRPr="009F44C6">
        <w:t xml:space="preserve">% des </w:t>
      </w:r>
      <w:r w:rsidR="003505AB" w:rsidRPr="009F44C6">
        <w:t xml:space="preserve">Wertes des </w:t>
      </w:r>
      <w:r w:rsidR="00E741CE" w:rsidRPr="009F44C6">
        <w:t>Sondervermögen</w:t>
      </w:r>
      <w:r w:rsidR="002842C9" w:rsidRPr="009F44C6">
        <w:t xml:space="preserve">s in einer Emission gehalten werden dürfen. </w:t>
      </w:r>
    </w:p>
    <w:p w14:paraId="01B1C940" w14:textId="66E9B221" w:rsidR="002842C9" w:rsidRPr="009F44C6" w:rsidRDefault="006C5FFD" w:rsidP="00F81D58">
      <w:pPr>
        <w:spacing w:after="480"/>
      </w:pPr>
      <w:r>
        <w:t>10</w:t>
      </w:r>
      <w:r w:rsidR="002842C9" w:rsidRPr="009F44C6">
        <w:t>. Die Gesellschaft hat</w:t>
      </w:r>
      <w:r w:rsidR="00002A09" w:rsidRPr="009F44C6">
        <w:t xml:space="preserve"> einen Betrag, der mindestens 5</w:t>
      </w:r>
      <w:r w:rsidR="002842C9" w:rsidRPr="009F44C6">
        <w:t xml:space="preserve">% des Wertes des </w:t>
      </w:r>
      <w:r w:rsidR="00E741CE" w:rsidRPr="009F44C6">
        <w:t>Sondervermögen</w:t>
      </w:r>
      <w:r w:rsidR="002842C9" w:rsidRPr="009F44C6">
        <w:t xml:space="preserve">s entspricht, </w:t>
      </w:r>
      <w:r w:rsidR="003D2AAE" w:rsidRPr="009F44C6">
        <w:t xml:space="preserve">täglich </w:t>
      </w:r>
      <w:r w:rsidR="0065271A" w:rsidRPr="009F44C6">
        <w:t>für die Rücknahme von Anteilen</w:t>
      </w:r>
      <w:r w:rsidR="002842C9" w:rsidRPr="009F44C6">
        <w:t xml:space="preserve"> verfügbar zu halten.</w:t>
      </w:r>
    </w:p>
    <w:p w14:paraId="1C825187" w14:textId="77777777" w:rsidR="002842C9" w:rsidRPr="009F44C6" w:rsidRDefault="002842C9" w:rsidP="00724B8D">
      <w:pPr>
        <w:jc w:val="center"/>
        <w:rPr>
          <w:b/>
        </w:rPr>
      </w:pPr>
      <w:r w:rsidRPr="009F44C6">
        <w:rPr>
          <w:b/>
        </w:rPr>
        <w:t>§ 7 Wertpapier-Darlehen</w:t>
      </w:r>
    </w:p>
    <w:p w14:paraId="4E7E6124" w14:textId="77777777" w:rsidR="00833888" w:rsidRPr="009F44C6" w:rsidRDefault="002842C9" w:rsidP="003A62AD">
      <w:r w:rsidRPr="009F44C6">
        <w:t xml:space="preserve">1. </w:t>
      </w:r>
      <w:r w:rsidR="00785FA3" w:rsidRPr="009F44C6">
        <w:t xml:space="preserve">Sofern die Besonderen Anlagebedingungen nichts </w:t>
      </w:r>
      <w:r w:rsidR="00361128" w:rsidRPr="009F44C6">
        <w:t>anderes</w:t>
      </w:r>
      <w:r w:rsidR="00785FA3" w:rsidRPr="009F44C6">
        <w:t xml:space="preserve"> vorsehen, darf d</w:t>
      </w:r>
      <w:r w:rsidRPr="009F44C6">
        <w:t xml:space="preserve">ie Gesellschaft für Rechnung des </w:t>
      </w:r>
      <w:r w:rsidR="00E741CE" w:rsidRPr="009F44C6">
        <w:t>Sondervermögen</w:t>
      </w:r>
      <w:r w:rsidRPr="009F44C6">
        <w:t xml:space="preserve">s einem Wertpapier-Darlehensnehmer gegen ein marktgerechtes Entgelt nach Übertragung ausreichender Sicherheiten </w:t>
      </w:r>
      <w:r w:rsidR="00833888" w:rsidRPr="009F44C6">
        <w:t xml:space="preserve">gemäß § 200 Absatz 2 KAGB </w:t>
      </w:r>
      <w:r w:rsidRPr="009F44C6">
        <w:t xml:space="preserve">ein </w:t>
      </w:r>
      <w:r w:rsidR="00833888" w:rsidRPr="009F44C6">
        <w:t xml:space="preserve">jederzeit kündbares </w:t>
      </w:r>
      <w:r w:rsidRPr="009F44C6">
        <w:t>Wertpapier-Darlehen gewähren</w:t>
      </w:r>
      <w:r w:rsidR="00833888" w:rsidRPr="009F44C6">
        <w:t xml:space="preserve">. Der Kurswert der </w:t>
      </w:r>
      <w:proofErr w:type="gramStart"/>
      <w:r w:rsidR="00833888" w:rsidRPr="009F44C6">
        <w:t>zu übertragenden Wertpapiere</w:t>
      </w:r>
      <w:proofErr w:type="gramEnd"/>
      <w:r w:rsidR="00833888" w:rsidRPr="009F44C6">
        <w:t xml:space="preserve"> darf zusammen mit dem Kurswert der für Rechnung des </w:t>
      </w:r>
      <w:r w:rsidR="00E741CE" w:rsidRPr="009F44C6">
        <w:t>Sondervermögen</w:t>
      </w:r>
      <w:r w:rsidR="00833888" w:rsidRPr="009F44C6">
        <w:t xml:space="preserve">s demselben Wertpapier-Darlehensnehmer einschließlich konzernangehöriger Unternehmen im Sinne </w:t>
      </w:r>
      <w:r w:rsidR="00833888" w:rsidRPr="009F44C6">
        <w:lastRenderedPageBreak/>
        <w:t>des § 290 HGB bereits als Wertpapier-Darle</w:t>
      </w:r>
      <w:r w:rsidR="00002A09" w:rsidRPr="009F44C6">
        <w:t>hen übertragenen Wertpapiere 10</w:t>
      </w:r>
      <w:r w:rsidR="00C74F54" w:rsidRPr="009F44C6">
        <w:t xml:space="preserve">% </w:t>
      </w:r>
      <w:r w:rsidR="00833888" w:rsidRPr="009F44C6">
        <w:t xml:space="preserve">des Wertes des </w:t>
      </w:r>
      <w:r w:rsidR="00E741CE" w:rsidRPr="009F44C6">
        <w:t>Sondervermögen</w:t>
      </w:r>
      <w:r w:rsidR="00833888" w:rsidRPr="009F44C6">
        <w:t xml:space="preserve">s nicht übersteigen. </w:t>
      </w:r>
    </w:p>
    <w:p w14:paraId="61617C4A" w14:textId="77777777" w:rsidR="00833888" w:rsidRPr="009F44C6" w:rsidRDefault="002842C9" w:rsidP="003A62AD">
      <w:r w:rsidRPr="009F44C6">
        <w:t>2</w:t>
      </w:r>
      <w:r w:rsidR="00833888" w:rsidRPr="009F44C6">
        <w:t xml:space="preserve">. Wird die Sicherheit für die übertragenen Wertpapiere vom Wertpapier-Darlehensnehmer in Guthaben erbracht, muss das Guthaben auf Sperrkonten gemäß § 200 Absatz 2 Satz 3 </w:t>
      </w:r>
      <w:r w:rsidR="00697FCE" w:rsidRPr="009F44C6">
        <w:t>Nummer</w:t>
      </w:r>
      <w:r w:rsidR="00833888" w:rsidRPr="009F44C6">
        <w:t xml:space="preserve"> 1 KAGB unterhalten werden. Alternativ darf die Gesellschaft von der Möglichkeit Gebrauch machen, diese Guthaben in der Währung des Guthabens in folgende Vermögensgegenstände anzulegen:</w:t>
      </w:r>
    </w:p>
    <w:p w14:paraId="73EA1765" w14:textId="77777777" w:rsidR="00833888" w:rsidRPr="009F44C6" w:rsidRDefault="00833888" w:rsidP="003A62AD">
      <w:pPr>
        <w:pStyle w:val="RevisionNummerierungStufe2"/>
        <w:tabs>
          <w:tab w:val="clear" w:pos="850"/>
          <w:tab w:val="num" w:pos="426"/>
        </w:tabs>
        <w:spacing w:before="60" w:after="60" w:line="360" w:lineRule="auto"/>
        <w:ind w:left="426" w:hanging="426"/>
        <w:rPr>
          <w:color w:val="auto"/>
        </w:rPr>
      </w:pPr>
      <w:r w:rsidRPr="009F44C6">
        <w:rPr>
          <w:color w:val="auto"/>
        </w:rPr>
        <w:t>in Schuldverschreibungen, die eine hohe Qualität aufweisen und die vom Bund, von einem Land, der Europäischen Union, einem Mitgliedstaat der Europäischen Union oder seinen Gebietskörperschaften, einem anderen Vertragsstaat des Abkommens über den Europäischen Wirtschaftsraum oder einem Drittstaat ausgegeben worden sind,</w:t>
      </w:r>
    </w:p>
    <w:p w14:paraId="769068D6" w14:textId="77777777" w:rsidR="00833888" w:rsidRPr="009F44C6" w:rsidRDefault="00833888" w:rsidP="003A62AD">
      <w:pPr>
        <w:pStyle w:val="RevisionNummerierungStufe2"/>
        <w:tabs>
          <w:tab w:val="clear" w:pos="850"/>
          <w:tab w:val="num" w:pos="426"/>
        </w:tabs>
        <w:spacing w:before="60" w:after="60" w:line="360" w:lineRule="auto"/>
        <w:ind w:left="426" w:hanging="426"/>
        <w:rPr>
          <w:color w:val="auto"/>
        </w:rPr>
      </w:pPr>
      <w:r w:rsidRPr="009F44C6">
        <w:rPr>
          <w:color w:val="auto"/>
        </w:rPr>
        <w:t xml:space="preserve">in Geldmarktfonds mit kurzer Laufzeitstruktur entsprechend </w:t>
      </w:r>
      <w:r w:rsidR="0073233E" w:rsidRPr="009F44C6">
        <w:rPr>
          <w:color w:val="auto"/>
        </w:rPr>
        <w:t xml:space="preserve">den </w:t>
      </w:r>
      <w:r w:rsidRPr="009F44C6">
        <w:rPr>
          <w:color w:val="auto"/>
        </w:rPr>
        <w:t xml:space="preserve">von der Bundesanstalt auf Grundlage von § 4 Absatz 2 </w:t>
      </w:r>
      <w:r w:rsidR="00BE1149" w:rsidRPr="009F44C6">
        <w:rPr>
          <w:color w:val="auto"/>
        </w:rPr>
        <w:t xml:space="preserve">KAGB </w:t>
      </w:r>
      <w:r w:rsidRPr="009F44C6">
        <w:rPr>
          <w:color w:val="auto"/>
        </w:rPr>
        <w:t>erlassenen Richtlinien oder</w:t>
      </w:r>
    </w:p>
    <w:p w14:paraId="1D12D05B" w14:textId="77777777" w:rsidR="00833888" w:rsidRPr="009F44C6" w:rsidRDefault="00833888" w:rsidP="003A62AD">
      <w:pPr>
        <w:pStyle w:val="RevisionNummerierungStufe2"/>
        <w:tabs>
          <w:tab w:val="clear" w:pos="850"/>
          <w:tab w:val="num" w:pos="426"/>
        </w:tabs>
        <w:spacing w:before="0" w:after="360" w:line="360" w:lineRule="auto"/>
        <w:ind w:left="425"/>
        <w:rPr>
          <w:color w:val="auto"/>
        </w:rPr>
      </w:pPr>
      <w:r w:rsidRPr="009F44C6">
        <w:rPr>
          <w:color w:val="auto"/>
        </w:rPr>
        <w:t xml:space="preserve">im Wege eines </w:t>
      </w:r>
      <w:r w:rsidR="0073233E" w:rsidRPr="009F44C6">
        <w:rPr>
          <w:color w:val="auto"/>
        </w:rPr>
        <w:t xml:space="preserve">umgekehrten </w:t>
      </w:r>
      <w:r w:rsidRPr="009F44C6">
        <w:rPr>
          <w:color w:val="auto"/>
        </w:rPr>
        <w:t>Pensionsgeschäftes mit einem Kreditinstitut, das die jederzeitige Rückforderung des aufgelaufenen Guthabens gewährleistet.</w:t>
      </w:r>
    </w:p>
    <w:p w14:paraId="75CFFB36" w14:textId="77777777" w:rsidR="00833888" w:rsidRPr="009F44C6" w:rsidRDefault="00833888" w:rsidP="00833888">
      <w:pPr>
        <w:pStyle w:val="RevisionNummerierungStufe2"/>
        <w:numPr>
          <w:ilvl w:val="0"/>
          <w:numId w:val="0"/>
        </w:numPr>
        <w:spacing w:before="0" w:after="360" w:line="360" w:lineRule="auto"/>
        <w:rPr>
          <w:color w:val="auto"/>
          <w:szCs w:val="20"/>
        </w:rPr>
      </w:pPr>
      <w:r w:rsidRPr="009F44C6">
        <w:rPr>
          <w:color w:val="auto"/>
          <w:szCs w:val="20"/>
        </w:rPr>
        <w:t xml:space="preserve">Die Erträge aus der Anlage der Sicherheiten stehen dem </w:t>
      </w:r>
      <w:r w:rsidR="00E741CE" w:rsidRPr="009F44C6">
        <w:rPr>
          <w:color w:val="auto"/>
          <w:szCs w:val="20"/>
        </w:rPr>
        <w:t>Sondervermögen</w:t>
      </w:r>
      <w:r w:rsidRPr="009F44C6">
        <w:rPr>
          <w:color w:val="auto"/>
          <w:szCs w:val="20"/>
        </w:rPr>
        <w:t xml:space="preserve"> zu.</w:t>
      </w:r>
    </w:p>
    <w:p w14:paraId="6464DD69" w14:textId="5FF924C8" w:rsidR="000759E3" w:rsidRPr="009F44C6" w:rsidRDefault="002842C9" w:rsidP="003A62AD">
      <w:r w:rsidRPr="009F44C6">
        <w:t>3. Die Gesellschaft kann sich auch eines von einer Wertpapiersammelbank organisierten Systems zur Vermittlung und Abwicklung der Wertpapier-Darlehen bedienen, welches von den Anforderungen de</w:t>
      </w:r>
      <w:r w:rsidR="004241C1">
        <w:t>s</w:t>
      </w:r>
      <w:r w:rsidRPr="009F44C6">
        <w:t xml:space="preserve"> §</w:t>
      </w:r>
      <w:r w:rsidR="00984453">
        <w:t xml:space="preserve"> </w:t>
      </w:r>
      <w:r w:rsidR="00FD03A9">
        <w:t xml:space="preserve">200 </w:t>
      </w:r>
      <w:r w:rsidR="00984453">
        <w:t>Absatz 1 Satz 3</w:t>
      </w:r>
      <w:r w:rsidR="00CB626B" w:rsidRPr="009F44C6">
        <w:t xml:space="preserve"> KAGB</w:t>
      </w:r>
      <w:r w:rsidRPr="009F44C6">
        <w:t xml:space="preserve"> abweicht, wenn </w:t>
      </w:r>
      <w:r w:rsidR="00833888" w:rsidRPr="009F44C6">
        <w:t xml:space="preserve">von dem jederzeitigen Kündigungsrecht nach Absatz 1 nicht abgewichen wird. </w:t>
      </w:r>
    </w:p>
    <w:p w14:paraId="0C8EFBFC" w14:textId="77777777" w:rsidR="002842C9" w:rsidRPr="009F44C6" w:rsidRDefault="00CF4048" w:rsidP="00724B8D">
      <w:pPr>
        <w:jc w:val="center"/>
        <w:rPr>
          <w:b/>
        </w:rPr>
      </w:pPr>
      <w:r w:rsidRPr="009F44C6">
        <w:rPr>
          <w:b/>
        </w:rPr>
        <w:t xml:space="preserve">§ </w:t>
      </w:r>
      <w:r w:rsidR="002842C9" w:rsidRPr="009F44C6">
        <w:rPr>
          <w:b/>
        </w:rPr>
        <w:t>8 Wertpapier-Pensionsgeschäfte</w:t>
      </w:r>
    </w:p>
    <w:p w14:paraId="6465A92B" w14:textId="77777777" w:rsidR="002842C9" w:rsidRPr="009F44C6" w:rsidRDefault="002842C9">
      <w:r w:rsidRPr="009F44C6">
        <w:t xml:space="preserve">1. </w:t>
      </w:r>
      <w:r w:rsidR="00C86BC6" w:rsidRPr="009F44C6">
        <w:t xml:space="preserve">Sofern die Besonderen Anlagebedingungen nichts </w:t>
      </w:r>
      <w:r w:rsidR="00361128" w:rsidRPr="009F44C6">
        <w:t>anderes</w:t>
      </w:r>
      <w:r w:rsidR="00C86BC6" w:rsidRPr="009F44C6">
        <w:t xml:space="preserve"> vorsehen, darf d</w:t>
      </w:r>
      <w:r w:rsidRPr="009F44C6">
        <w:t xml:space="preserve">ie Gesellschaft für Rechnung des </w:t>
      </w:r>
      <w:r w:rsidR="00E741CE" w:rsidRPr="009F44C6">
        <w:t>Sondervermögen</w:t>
      </w:r>
      <w:r w:rsidRPr="009F44C6">
        <w:t xml:space="preserve">s </w:t>
      </w:r>
      <w:r w:rsidR="00257914" w:rsidRPr="009F44C6">
        <w:t xml:space="preserve">jederzeit kündbare </w:t>
      </w:r>
      <w:r w:rsidRPr="009F44C6">
        <w:t xml:space="preserve">Wertpapier-Pensionsgeschäfte im Sinne von § 340b </w:t>
      </w:r>
      <w:r w:rsidR="00BE1149" w:rsidRPr="009F44C6">
        <w:t>Absatz</w:t>
      </w:r>
      <w:r w:rsidRPr="009F44C6">
        <w:t xml:space="preserve"> 2 Handelsgesetzbuch gegen </w:t>
      </w:r>
      <w:r w:rsidRPr="009F44C6">
        <w:lastRenderedPageBreak/>
        <w:t xml:space="preserve">Entgelt mit Kreditinstituten oder Finanzdienstleistungsinstituten </w:t>
      </w:r>
      <w:r w:rsidR="00257914" w:rsidRPr="009F44C6">
        <w:t xml:space="preserve">auf </w:t>
      </w:r>
      <w:r w:rsidR="00C74F54" w:rsidRPr="009F44C6">
        <w:t xml:space="preserve">der </w:t>
      </w:r>
      <w:r w:rsidR="00257914" w:rsidRPr="009F44C6">
        <w:t xml:space="preserve">Grundlage standardisierter Rahmenverträge </w:t>
      </w:r>
      <w:r w:rsidRPr="009F44C6">
        <w:t>abschließen.</w:t>
      </w:r>
    </w:p>
    <w:p w14:paraId="2B17C06C" w14:textId="77777777" w:rsidR="002842C9" w:rsidRPr="009F44C6" w:rsidRDefault="002842C9">
      <w:r w:rsidRPr="009F44C6">
        <w:t xml:space="preserve">2. Die Wertpapier-Pensionsgeschäfte müssen Wertpapiere zum Gegenstand haben, die nach den </w:t>
      </w:r>
      <w:r w:rsidR="00257914" w:rsidRPr="009F44C6">
        <w:t xml:space="preserve">Anlagebedingungen </w:t>
      </w:r>
      <w:r w:rsidRPr="009F44C6">
        <w:t xml:space="preserve">für das </w:t>
      </w:r>
      <w:r w:rsidR="00E741CE" w:rsidRPr="009F44C6">
        <w:t>Sondervermögen</w:t>
      </w:r>
      <w:r w:rsidRPr="009F44C6">
        <w:t xml:space="preserve"> erworben werden dürfen.</w:t>
      </w:r>
    </w:p>
    <w:p w14:paraId="4922C523" w14:textId="09B1A91C" w:rsidR="00FA166F" w:rsidRPr="009F44C6" w:rsidRDefault="002842C9" w:rsidP="00F81D58">
      <w:pPr>
        <w:spacing w:after="480"/>
      </w:pPr>
      <w:r w:rsidRPr="009F44C6">
        <w:t>3. Die Pensionsgeschäfte dürfen höchstens eine Laufzeit von 12 Monaten haben.</w:t>
      </w:r>
    </w:p>
    <w:p w14:paraId="5F55523B" w14:textId="77777777" w:rsidR="002842C9" w:rsidRPr="009F44C6" w:rsidRDefault="002842C9">
      <w:pPr>
        <w:jc w:val="center"/>
        <w:rPr>
          <w:b/>
        </w:rPr>
      </w:pPr>
      <w:r w:rsidRPr="009F44C6">
        <w:rPr>
          <w:b/>
        </w:rPr>
        <w:t xml:space="preserve">§ 9 </w:t>
      </w:r>
      <w:r w:rsidR="00310993" w:rsidRPr="009F44C6">
        <w:rPr>
          <w:b/>
        </w:rPr>
        <w:t xml:space="preserve">Kreditaufnahme und </w:t>
      </w:r>
      <w:r w:rsidRPr="009F44C6">
        <w:rPr>
          <w:b/>
        </w:rPr>
        <w:t xml:space="preserve">Belastung von </w:t>
      </w:r>
      <w:r w:rsidR="00D16F87" w:rsidRPr="009F44C6">
        <w:rPr>
          <w:b/>
        </w:rPr>
        <w:t xml:space="preserve">Immobilien </w:t>
      </w:r>
    </w:p>
    <w:p w14:paraId="67409918" w14:textId="77777777" w:rsidR="00310993" w:rsidRPr="009F44C6" w:rsidRDefault="002842C9" w:rsidP="00310993">
      <w:r w:rsidRPr="009F44C6">
        <w:t>1</w:t>
      </w:r>
      <w:r w:rsidR="00310993" w:rsidRPr="009F44C6">
        <w:t xml:space="preserve">. </w:t>
      </w:r>
      <w:r w:rsidR="00694C22" w:rsidRPr="009F44C6">
        <w:t xml:space="preserve">Soweit die Besonderen </w:t>
      </w:r>
      <w:r w:rsidR="00CB626B" w:rsidRPr="009F44C6">
        <w:t>Anlagebedingungen</w:t>
      </w:r>
      <w:r w:rsidR="00694C22" w:rsidRPr="009F44C6">
        <w:t xml:space="preserve"> keine</w:t>
      </w:r>
      <w:r w:rsidR="00713153" w:rsidRPr="009F44C6">
        <w:t>n</w:t>
      </w:r>
      <w:r w:rsidR="00694C22" w:rsidRPr="009F44C6">
        <w:t xml:space="preserve"> </w:t>
      </w:r>
      <w:r w:rsidR="00713153" w:rsidRPr="009F44C6">
        <w:t>niedrigeren Prozentsatz</w:t>
      </w:r>
      <w:r w:rsidR="00694C22" w:rsidRPr="009F44C6">
        <w:t xml:space="preserve"> vorsehen, darf d</w:t>
      </w:r>
      <w:r w:rsidR="00463C28" w:rsidRPr="009F44C6">
        <w:t xml:space="preserve">ie </w:t>
      </w:r>
      <w:r w:rsidR="00CB626B" w:rsidRPr="009F44C6">
        <w:t xml:space="preserve">Gesellschaft </w:t>
      </w:r>
      <w:r w:rsidR="00463C28" w:rsidRPr="009F44C6">
        <w:t xml:space="preserve">für gemeinschaftliche Rechnung der Anleger Kredite bis zur Höhe von </w:t>
      </w:r>
      <w:r w:rsidR="00A55263" w:rsidRPr="009F44C6">
        <w:t>3</w:t>
      </w:r>
      <w:r w:rsidR="00463C28" w:rsidRPr="009F44C6">
        <w:t xml:space="preserve">0% der Verkehrswerte der im </w:t>
      </w:r>
      <w:r w:rsidR="00E741CE" w:rsidRPr="009F44C6">
        <w:t>Sondervermögen</w:t>
      </w:r>
      <w:r w:rsidR="00463C28" w:rsidRPr="009F44C6">
        <w:t xml:space="preserve"> befindlichen Immobilien aufnehmen</w:t>
      </w:r>
      <w:r w:rsidR="00BE1149" w:rsidRPr="009F44C6">
        <w:t xml:space="preserve"> und halten</w:t>
      </w:r>
      <w:r w:rsidR="00E73D08" w:rsidRPr="009F44C6">
        <w:t xml:space="preserve">, wenn die Grenze nach § </w:t>
      </w:r>
      <w:r w:rsidR="00CB626B" w:rsidRPr="009F44C6">
        <w:t xml:space="preserve">260 </w:t>
      </w:r>
      <w:r w:rsidR="00010B9D" w:rsidRPr="009F44C6">
        <w:t>Absatz</w:t>
      </w:r>
      <w:r w:rsidR="00CB626B" w:rsidRPr="009F44C6">
        <w:t xml:space="preserve"> 3 </w:t>
      </w:r>
      <w:r w:rsidR="00697FCE" w:rsidRPr="009F44C6">
        <w:t>Nummer</w:t>
      </w:r>
      <w:r w:rsidR="00BE1149" w:rsidRPr="009F44C6">
        <w:t xml:space="preserve"> 3 </w:t>
      </w:r>
      <w:r w:rsidR="00CB626B" w:rsidRPr="009F44C6">
        <w:t>KAGB</w:t>
      </w:r>
      <w:r w:rsidR="00E73D08" w:rsidRPr="009F44C6">
        <w:t xml:space="preserve"> nicht überschritten wird</w:t>
      </w:r>
      <w:r w:rsidR="0022607B" w:rsidRPr="009F44C6">
        <w:t xml:space="preserve">. </w:t>
      </w:r>
      <w:r w:rsidR="00310993" w:rsidRPr="009F44C6">
        <w:t>Darüber hinaus darf die Gesellschaft für gemeinschaftliche Rechnung der Anleger kurzfristige Kredite</w:t>
      </w:r>
      <w:r w:rsidR="00002A09" w:rsidRPr="009F44C6">
        <w:t xml:space="preserve"> bis zur Höhe von 10</w:t>
      </w:r>
      <w:r w:rsidR="00310993" w:rsidRPr="009F44C6">
        <w:t xml:space="preserve">% des Wertes des </w:t>
      </w:r>
      <w:r w:rsidR="00E741CE" w:rsidRPr="009F44C6">
        <w:t>Sondervermögen</w:t>
      </w:r>
      <w:r w:rsidR="00310993" w:rsidRPr="009F44C6">
        <w:t>s aufnehmen</w:t>
      </w:r>
      <w:r w:rsidR="00463C28" w:rsidRPr="009F44C6">
        <w:t>. Hierbei sind Beträge, die die Gesellschaft als Pension</w:t>
      </w:r>
      <w:r w:rsidR="00B04D32" w:rsidRPr="009F44C6">
        <w:t>sgeber im Rahmen eines Pensions</w:t>
      </w:r>
      <w:r w:rsidR="00463C28" w:rsidRPr="009F44C6">
        <w:t>geschäftes erhalten hat, anzurechnen. Eine Kreditaufnahme darf nur erfolgen,</w:t>
      </w:r>
      <w:r w:rsidR="00310993" w:rsidRPr="009F44C6">
        <w:t xml:space="preserve"> wenn die Bedingungen marktüblich sind und die </w:t>
      </w:r>
      <w:r w:rsidR="00CB626B" w:rsidRPr="009F44C6">
        <w:t>Verwah</w:t>
      </w:r>
      <w:r w:rsidR="000033F7" w:rsidRPr="009F44C6">
        <w:t>r</w:t>
      </w:r>
      <w:r w:rsidR="00CB626B" w:rsidRPr="009F44C6">
        <w:t xml:space="preserve">stelle </w:t>
      </w:r>
      <w:r w:rsidR="00310993" w:rsidRPr="009F44C6">
        <w:t xml:space="preserve">der Kreditaufnahme zustimmt. </w:t>
      </w:r>
    </w:p>
    <w:p w14:paraId="4B2AA551" w14:textId="77777777" w:rsidR="002842C9" w:rsidRPr="009F44C6" w:rsidRDefault="00310993">
      <w:r w:rsidRPr="009F44C6">
        <w:t>2</w:t>
      </w:r>
      <w:r w:rsidR="002842C9" w:rsidRPr="009F44C6">
        <w:t xml:space="preserve">. Die Gesellschaft darf zum </w:t>
      </w:r>
      <w:r w:rsidR="00E741CE" w:rsidRPr="009F44C6">
        <w:t>Sondervermögen</w:t>
      </w:r>
      <w:r w:rsidR="002842C9" w:rsidRPr="009F44C6">
        <w:t xml:space="preserve"> gehörende </w:t>
      </w:r>
      <w:r w:rsidR="00C15FC4" w:rsidRPr="009F44C6">
        <w:t xml:space="preserve">Vermögensgegenstände nach § 231 Absatz 1 KAGB </w:t>
      </w:r>
      <w:r w:rsidR="002842C9" w:rsidRPr="009F44C6">
        <w:t xml:space="preserve">belasten sowie Forderungen aus Rechtsverhältnissen, die sich auf </w:t>
      </w:r>
      <w:r w:rsidR="00534C31" w:rsidRPr="009F44C6">
        <w:t xml:space="preserve">Vermögensgegenstände nach § 231 Absatz 1 KAGB </w:t>
      </w:r>
      <w:r w:rsidR="002842C9" w:rsidRPr="009F44C6">
        <w:t xml:space="preserve">beziehen, abtreten und belasten (Belastungen), wenn dies mit einer ordnungsgemäßen Wirtschaftsführung vereinbar ist und die </w:t>
      </w:r>
      <w:r w:rsidR="00054289" w:rsidRPr="009F44C6">
        <w:t xml:space="preserve">Verwahrstelle </w:t>
      </w:r>
      <w:r w:rsidR="002842C9" w:rsidRPr="009F44C6">
        <w:t xml:space="preserve">den Belastungen zustimmt, weil sie die dafür vorgesehenen Bedingungen für marktüblich erachtet. Sie darf auch mit dem Erwerb von </w:t>
      </w:r>
      <w:r w:rsidR="00534C31" w:rsidRPr="009F44C6">
        <w:t>Vermögensgegenständ</w:t>
      </w:r>
      <w:r w:rsidR="00E61495" w:rsidRPr="009F44C6">
        <w:t>en</w:t>
      </w:r>
      <w:r w:rsidR="00534C31" w:rsidRPr="009F44C6">
        <w:t xml:space="preserve"> nach § 231 Absatz 1</w:t>
      </w:r>
      <w:r w:rsidR="00E96186" w:rsidRPr="009F44C6">
        <w:t xml:space="preserve"> </w:t>
      </w:r>
      <w:r w:rsidR="00534C31" w:rsidRPr="009F44C6">
        <w:t xml:space="preserve">KAGB </w:t>
      </w:r>
      <w:r w:rsidR="002842C9" w:rsidRPr="009F44C6">
        <w:t xml:space="preserve">im Zusammenhang stehende Belastungen übernehmen. </w:t>
      </w:r>
      <w:r w:rsidR="008C589F" w:rsidRPr="009F44C6">
        <w:t xml:space="preserve">Soweit die Besonderen </w:t>
      </w:r>
      <w:r w:rsidR="00054289" w:rsidRPr="009F44C6">
        <w:t>Anlagebedingungen</w:t>
      </w:r>
      <w:r w:rsidR="008C589F" w:rsidRPr="009F44C6">
        <w:t xml:space="preserve"> keine</w:t>
      </w:r>
      <w:r w:rsidR="00A47FC3" w:rsidRPr="009F44C6">
        <w:t>n niedrigeren Prozentsatz</w:t>
      </w:r>
      <w:r w:rsidR="008C589F" w:rsidRPr="009F44C6">
        <w:t xml:space="preserve"> vorsehen, </w:t>
      </w:r>
      <w:r w:rsidR="002842C9" w:rsidRPr="009F44C6">
        <w:t xml:space="preserve">dürfen die jeweiligen Belastungen </w:t>
      </w:r>
      <w:r w:rsidR="00A47FC3" w:rsidRPr="009F44C6">
        <w:t xml:space="preserve">insgesamt </w:t>
      </w:r>
      <w:r w:rsidR="00EA4537" w:rsidRPr="009F44C6">
        <w:t>3</w:t>
      </w:r>
      <w:r w:rsidR="008C589F" w:rsidRPr="009F44C6">
        <w:t xml:space="preserve">0% </w:t>
      </w:r>
      <w:r w:rsidR="002842C9" w:rsidRPr="009F44C6">
        <w:t xml:space="preserve">des Verkehrswertes aller im </w:t>
      </w:r>
      <w:r w:rsidR="00E741CE" w:rsidRPr="009F44C6">
        <w:lastRenderedPageBreak/>
        <w:t>Sondervermögen</w:t>
      </w:r>
      <w:r w:rsidR="002842C9" w:rsidRPr="009F44C6">
        <w:t xml:space="preserve"> befindlichen Immobilien nicht überschreiten. Erbbauzinsen bleiben unberücksichtigt.</w:t>
      </w:r>
    </w:p>
    <w:p w14:paraId="3E1504AB" w14:textId="77777777" w:rsidR="002842C9" w:rsidRPr="009F44C6" w:rsidRDefault="002842C9">
      <w:pPr>
        <w:jc w:val="center"/>
        <w:rPr>
          <w:b/>
        </w:rPr>
      </w:pPr>
      <w:r w:rsidRPr="009F44C6">
        <w:rPr>
          <w:b/>
        </w:rPr>
        <w:t xml:space="preserve">§ 10 </w:t>
      </w:r>
      <w:r w:rsidR="00EA4537" w:rsidRPr="009F44C6">
        <w:rPr>
          <w:b/>
        </w:rPr>
        <w:t>Verschmelzung</w:t>
      </w:r>
    </w:p>
    <w:p w14:paraId="4760F1B5" w14:textId="77777777" w:rsidR="00EA4537" w:rsidRPr="009F44C6" w:rsidRDefault="002842C9">
      <w:r w:rsidRPr="009F44C6">
        <w:t xml:space="preserve">1. Die Gesellschaft darf </w:t>
      </w:r>
      <w:r w:rsidR="00EA4537" w:rsidRPr="009F44C6">
        <w:t>nach Maßgabe de</w:t>
      </w:r>
      <w:r w:rsidR="00BB7397" w:rsidRPr="009F44C6">
        <w:t>r</w:t>
      </w:r>
      <w:r w:rsidR="00EA4537" w:rsidRPr="009F44C6">
        <w:t xml:space="preserve"> §</w:t>
      </w:r>
      <w:r w:rsidR="00BB7397" w:rsidRPr="009F44C6">
        <w:t>§</w:t>
      </w:r>
      <w:r w:rsidR="00EA4537" w:rsidRPr="009F44C6">
        <w:t xml:space="preserve"> </w:t>
      </w:r>
      <w:r w:rsidR="003E516D" w:rsidRPr="009F44C6">
        <w:t xml:space="preserve">181 </w:t>
      </w:r>
      <w:r w:rsidR="00BB7397" w:rsidRPr="009F44C6">
        <w:t xml:space="preserve">bis 191 </w:t>
      </w:r>
      <w:r w:rsidR="003E516D" w:rsidRPr="009F44C6">
        <w:t>KAGB</w:t>
      </w:r>
      <w:r w:rsidR="00EA4537" w:rsidRPr="009F44C6">
        <w:t xml:space="preserve"> </w:t>
      </w:r>
    </w:p>
    <w:p w14:paraId="6D258192" w14:textId="77777777" w:rsidR="00EA4537" w:rsidRPr="009F44C6" w:rsidRDefault="00EA4537">
      <w:r w:rsidRPr="009F44C6">
        <w:t xml:space="preserve">a) </w:t>
      </w:r>
      <w:r w:rsidR="003F2FA8" w:rsidRPr="009F44C6">
        <w:t xml:space="preserve">sämtliche </w:t>
      </w:r>
      <w:r w:rsidR="002842C9" w:rsidRPr="009F44C6">
        <w:t xml:space="preserve">Vermögensgegenstände </w:t>
      </w:r>
      <w:r w:rsidRPr="009F44C6">
        <w:t xml:space="preserve">und Verbindlichkeiten </w:t>
      </w:r>
      <w:r w:rsidR="002842C9" w:rsidRPr="009F44C6">
        <w:t xml:space="preserve">dieses </w:t>
      </w:r>
      <w:r w:rsidR="00E741CE" w:rsidRPr="009F44C6">
        <w:t>Sondervermögen</w:t>
      </w:r>
      <w:r w:rsidR="002842C9" w:rsidRPr="009F44C6">
        <w:t xml:space="preserve">s </w:t>
      </w:r>
      <w:r w:rsidRPr="009F44C6">
        <w:t xml:space="preserve">auf ein anderes </w:t>
      </w:r>
      <w:r w:rsidR="002A618F" w:rsidRPr="009F44C6">
        <w:t xml:space="preserve">bestehendes </w:t>
      </w:r>
      <w:r w:rsidRPr="009F44C6">
        <w:t xml:space="preserve">oder ein neues, dadurch gegründetes inländisches </w:t>
      </w:r>
      <w:r w:rsidR="003C2355" w:rsidRPr="009F44C6">
        <w:t xml:space="preserve">Immobilien-Sondervermögen </w:t>
      </w:r>
      <w:r w:rsidR="002842C9" w:rsidRPr="009F44C6">
        <w:t>übertragen</w:t>
      </w:r>
      <w:r w:rsidRPr="009F44C6">
        <w:t>;</w:t>
      </w:r>
    </w:p>
    <w:p w14:paraId="52E8AF8E" w14:textId="77777777" w:rsidR="002842C9" w:rsidRPr="009F44C6" w:rsidRDefault="00EA4537">
      <w:r w:rsidRPr="009F44C6">
        <w:t>b)</w:t>
      </w:r>
      <w:r w:rsidR="002842C9" w:rsidRPr="009F44C6">
        <w:t xml:space="preserve"> </w:t>
      </w:r>
      <w:r w:rsidRPr="009F44C6">
        <w:t xml:space="preserve">sämtliche </w:t>
      </w:r>
      <w:r w:rsidR="002842C9" w:rsidRPr="009F44C6">
        <w:t xml:space="preserve">Vermögensgegenstände </w:t>
      </w:r>
      <w:r w:rsidRPr="009F44C6">
        <w:t xml:space="preserve">und Verbindlichkeiten </w:t>
      </w:r>
      <w:r w:rsidR="002842C9" w:rsidRPr="009F44C6">
        <w:t xml:space="preserve">eines anderen </w:t>
      </w:r>
      <w:r w:rsidRPr="009F44C6">
        <w:t xml:space="preserve">inländischen </w:t>
      </w:r>
      <w:r w:rsidR="003C2355" w:rsidRPr="009F44C6">
        <w:t>Immobilien-Sondervermögen</w:t>
      </w:r>
      <w:r w:rsidR="002A618F" w:rsidRPr="009F44C6">
        <w:t>s</w:t>
      </w:r>
      <w:r w:rsidRPr="009F44C6">
        <w:t xml:space="preserve"> </w:t>
      </w:r>
      <w:r w:rsidR="002842C9" w:rsidRPr="009F44C6">
        <w:t xml:space="preserve">in dieses </w:t>
      </w:r>
      <w:r w:rsidR="00E741CE" w:rsidRPr="009F44C6">
        <w:t>Sondervermögen</w:t>
      </w:r>
      <w:r w:rsidR="002842C9" w:rsidRPr="009F44C6">
        <w:t xml:space="preserve"> </w:t>
      </w:r>
      <w:r w:rsidRPr="009F44C6">
        <w:t>auf</w:t>
      </w:r>
      <w:r w:rsidR="002842C9" w:rsidRPr="009F44C6">
        <w:t>nehmen</w:t>
      </w:r>
      <w:r w:rsidRPr="009F44C6">
        <w:t>.</w:t>
      </w:r>
    </w:p>
    <w:p w14:paraId="43A3BB9E" w14:textId="77777777" w:rsidR="00BC3FB5" w:rsidRPr="009F44C6" w:rsidRDefault="00EA4537">
      <w:r w:rsidRPr="009F44C6">
        <w:t xml:space="preserve">2. Die Verschmelzung bedarf der Genehmigung der Bundesanstalt. </w:t>
      </w:r>
    </w:p>
    <w:p w14:paraId="2F0619FB" w14:textId="5300D3A0" w:rsidR="0014148F" w:rsidRPr="009F44C6" w:rsidRDefault="009E1BFD" w:rsidP="00F81D58">
      <w:pPr>
        <w:spacing w:after="480"/>
      </w:pPr>
      <w:r w:rsidRPr="00673B52">
        <w:t>3</w:t>
      </w:r>
      <w:r w:rsidR="003F2FA8" w:rsidRPr="00673B52">
        <w:t>.</w:t>
      </w:r>
      <w:r w:rsidR="003F2FA8" w:rsidRPr="009F44C6">
        <w:t xml:space="preserve"> </w:t>
      </w:r>
      <w:r w:rsidR="00EA4537" w:rsidRPr="009F44C6">
        <w:t xml:space="preserve">Die Einzelheiten des Verfahrens ergeben sich aus den §§ </w:t>
      </w:r>
      <w:r w:rsidR="00BB7397" w:rsidRPr="009F44C6">
        <w:t>182 bis 191 KAGB.</w:t>
      </w:r>
    </w:p>
    <w:p w14:paraId="181F8AD4" w14:textId="77777777" w:rsidR="002842C9" w:rsidRPr="009F44C6" w:rsidRDefault="002842C9" w:rsidP="0014148F">
      <w:pPr>
        <w:spacing w:after="480"/>
        <w:jc w:val="center"/>
        <w:rPr>
          <w:b/>
        </w:rPr>
      </w:pPr>
      <w:r w:rsidRPr="009F44C6">
        <w:rPr>
          <w:b/>
        </w:rPr>
        <w:t>§ 11 Anteile</w:t>
      </w:r>
    </w:p>
    <w:p w14:paraId="0D1D95ED" w14:textId="542D2BC0" w:rsidR="002842C9" w:rsidRPr="009F44C6" w:rsidRDefault="002842C9">
      <w:r w:rsidRPr="009F44C6">
        <w:t xml:space="preserve">1. Die </w:t>
      </w:r>
      <w:r w:rsidR="00317B7D" w:rsidRPr="009F44C6">
        <w:t xml:space="preserve">in einer Sammelurkunde </w:t>
      </w:r>
      <w:proofErr w:type="gramStart"/>
      <w:r w:rsidR="00317B7D" w:rsidRPr="009F44C6">
        <w:t xml:space="preserve">zu verbriefenden </w:t>
      </w:r>
      <w:r w:rsidRPr="009F44C6">
        <w:t>Anteil</w:t>
      </w:r>
      <w:r w:rsidR="00E03CDE" w:rsidRPr="009F44C6">
        <w:t>scheine</w:t>
      </w:r>
      <w:proofErr w:type="gramEnd"/>
      <w:r w:rsidRPr="009F44C6">
        <w:t xml:space="preserve"> lauten auf den Inhaber</w:t>
      </w:r>
      <w:r w:rsidR="00C75F1E">
        <w:t xml:space="preserve"> oder werden als elektronische Anteilscheine begeben</w:t>
      </w:r>
      <w:r w:rsidR="00E7480C" w:rsidRPr="009F44C6">
        <w:t>.</w:t>
      </w:r>
    </w:p>
    <w:p w14:paraId="430D4D56" w14:textId="77777777" w:rsidR="002842C9" w:rsidRPr="009F44C6" w:rsidRDefault="002842C9">
      <w:r w:rsidRPr="009F44C6">
        <w:t xml:space="preserve">2. Die Anteile können verschiedene </w:t>
      </w:r>
      <w:r w:rsidR="00EA4537" w:rsidRPr="009F44C6">
        <w:t>Ausgestaltungsmerkmale</w:t>
      </w:r>
      <w:r w:rsidR="000C13A6" w:rsidRPr="009F44C6">
        <w:t>, insbesondere</w:t>
      </w:r>
      <w:r w:rsidRPr="009F44C6">
        <w:t xml:space="preserve"> hinsichtlich der Ertragsverwendung, des Ausgabeaufschlages, des Rücknahmeabschlages, der Währung des Anteilwertes, der Verwaltungsvergütung</w:t>
      </w:r>
      <w:r w:rsidR="005F63FB" w:rsidRPr="009F44C6">
        <w:t>,</w:t>
      </w:r>
      <w:r w:rsidRPr="009F44C6">
        <w:t xml:space="preserve"> </w:t>
      </w:r>
      <w:r w:rsidR="005F63FB" w:rsidRPr="009F44C6">
        <w:t xml:space="preserve">der Mindestanlagesumme </w:t>
      </w:r>
      <w:r w:rsidRPr="009F44C6">
        <w:t xml:space="preserve">oder einer Kombination dieser Merkmale (Anteilklassen) haben. Die Einzelheiten sind in den Besonderen </w:t>
      </w:r>
      <w:r w:rsidR="00BB7397" w:rsidRPr="009F44C6">
        <w:t>Anlagebedingungen</w:t>
      </w:r>
      <w:r w:rsidRPr="009F44C6">
        <w:t xml:space="preserve"> festgelegt. </w:t>
      </w:r>
    </w:p>
    <w:p w14:paraId="705CA478" w14:textId="77777777" w:rsidR="002842C9" w:rsidRPr="009F44C6" w:rsidRDefault="002B73E4">
      <w:r w:rsidRPr="009F44C6">
        <w:t>3</w:t>
      </w:r>
      <w:r w:rsidR="002842C9" w:rsidRPr="009F44C6">
        <w:t>. Die Anteile sind übertragbar</w:t>
      </w:r>
      <w:r w:rsidR="00AE6C88" w:rsidRPr="009F44C6">
        <w:t xml:space="preserve">, soweit die Besonderen Anlagebedingungen </w:t>
      </w:r>
      <w:r w:rsidR="00200B8C" w:rsidRPr="009F44C6">
        <w:t xml:space="preserve">nichts </w:t>
      </w:r>
      <w:r w:rsidR="001E131A" w:rsidRPr="009F44C6">
        <w:t>anderes</w:t>
      </w:r>
      <w:r w:rsidR="00200B8C" w:rsidRPr="009F44C6">
        <w:t xml:space="preserve"> regeln. </w:t>
      </w:r>
      <w:r w:rsidR="002842C9" w:rsidRPr="009F44C6">
        <w:t xml:space="preserve">Mit der Übertragung eines Anteils gehen die in ihm verbrieften </w:t>
      </w:r>
      <w:r w:rsidR="002842C9" w:rsidRPr="009F44C6">
        <w:lastRenderedPageBreak/>
        <w:t>Rechte über. Der Gesellschaft gegenüber gilt in jedem Falle der Inhaber des Anteils als der Berechtigte.</w:t>
      </w:r>
    </w:p>
    <w:p w14:paraId="2D1E93B2" w14:textId="657E91EE" w:rsidR="00E36487" w:rsidRPr="009F44C6" w:rsidRDefault="00C66767" w:rsidP="00414820">
      <w:r w:rsidRPr="009F44C6">
        <w:t>4</w:t>
      </w:r>
      <w:r w:rsidR="00414820" w:rsidRPr="009F44C6">
        <w:t xml:space="preserve">. Die Rechte der Anleger bzw. die Rechte der Anleger einer Anteilklasse </w:t>
      </w:r>
      <w:r w:rsidR="00E36487" w:rsidRPr="009F44C6">
        <w:t xml:space="preserve">werden </w:t>
      </w:r>
      <w:r w:rsidR="00414820" w:rsidRPr="009F44C6">
        <w:t xml:space="preserve">in einer </w:t>
      </w:r>
      <w:r w:rsidR="00317B7D" w:rsidRPr="009F44C6">
        <w:t xml:space="preserve">Sammelurkunde </w:t>
      </w:r>
      <w:r w:rsidR="00414820" w:rsidRPr="009F44C6">
        <w:t>verbrieft</w:t>
      </w:r>
      <w:r w:rsidR="009E1BFD" w:rsidRPr="009E1BFD">
        <w:t xml:space="preserve"> </w:t>
      </w:r>
      <w:r w:rsidR="009E1BFD" w:rsidRPr="0069163A">
        <w:t>oder als elektronische Anteilscheine begeben</w:t>
      </w:r>
      <w:r w:rsidR="00414820" w:rsidRPr="0069163A">
        <w:t>.</w:t>
      </w:r>
      <w:r w:rsidR="00414820" w:rsidRPr="009F44C6">
        <w:t xml:space="preserve"> </w:t>
      </w:r>
      <w:r w:rsidR="00200B8C" w:rsidRPr="009F44C6">
        <w:t xml:space="preserve">Sie trägt mindestens die </w:t>
      </w:r>
      <w:r w:rsidRPr="009F44C6">
        <w:t xml:space="preserve">handschriftlichen oder vervielfältigten </w:t>
      </w:r>
      <w:r w:rsidR="00200B8C" w:rsidRPr="009F44C6">
        <w:t>Unterschrift</w:t>
      </w:r>
      <w:r w:rsidRPr="009F44C6">
        <w:t xml:space="preserve">en der Gesellschaft und der Verwahrstelle. </w:t>
      </w:r>
      <w:r w:rsidR="00414820" w:rsidRPr="009F44C6">
        <w:t>Der Anspruch auf Einzelverbriefung ist ausgeschlossen.</w:t>
      </w:r>
    </w:p>
    <w:p w14:paraId="0914D023" w14:textId="77777777" w:rsidR="00414820" w:rsidRPr="009F44C6" w:rsidRDefault="00414820" w:rsidP="00414820">
      <w:r w:rsidRPr="009F44C6">
        <w:t>[Sofern für das Sondervermögen in der Vergangenheit effektive Stücke aus</w:t>
      </w:r>
      <w:r w:rsidR="00E97FD0" w:rsidRPr="009F44C6">
        <w:t>ge</w:t>
      </w:r>
      <w:r w:rsidRPr="009F44C6">
        <w:t>geben wurden und diese sich mit Ablauf des 31. Dezember 2016 nicht in Sammelverwahrung bei einer der in § 97 Absatz 1 Satz 2 KAGB genannten Stellen bef</w:t>
      </w:r>
      <w:r w:rsidR="00AF2565" w:rsidRPr="009F44C6">
        <w:t>a</w:t>
      </w:r>
      <w:r w:rsidRPr="009F44C6">
        <w:t>nden, w</w:t>
      </w:r>
      <w:r w:rsidR="00AF2565" w:rsidRPr="009F44C6">
        <w:t>u</w:t>
      </w:r>
      <w:r w:rsidRPr="009F44C6">
        <w:t>rden diese effektiven Stücke mit Ablauf des 31. Dezember 2016 kraftlos. Die Anteile der Anleger w</w:t>
      </w:r>
      <w:r w:rsidR="00AF2565" w:rsidRPr="009F44C6">
        <w:t>u</w:t>
      </w:r>
      <w:r w:rsidRPr="009F44C6">
        <w:t xml:space="preserve">rden stattdessen in einer </w:t>
      </w:r>
      <w:r w:rsidR="004035F0" w:rsidRPr="009F44C6">
        <w:t xml:space="preserve">Sammelurkunde </w:t>
      </w:r>
      <w:r w:rsidRPr="009F44C6">
        <w:t>verbrieft und auf einem gesonderten Depot der Verwahrstelle gutgeschrieben. Mit der Einreichung eines kraftlosen effektiven Stücks bei der Verwahrstelle kann der Einreicher die Gutschrift eines entsprechenden Anteils auf ein von ihm zu benennendes und für ihn geführtes Depotkonto verlangen. Effektive Stücke, die sich mit Ablauf des 31. Dezember 2016 in Sammelverwahrung bei einer der in § 97 Absatz 1 Satz 2 KAGB genannten Stellen bef</w:t>
      </w:r>
      <w:r w:rsidR="00AF2565" w:rsidRPr="009F44C6">
        <w:t>a</w:t>
      </w:r>
      <w:r w:rsidRPr="009F44C6">
        <w:t xml:space="preserve">nden, können jederzeit in eine </w:t>
      </w:r>
      <w:r w:rsidR="004035F0" w:rsidRPr="009F44C6">
        <w:t xml:space="preserve">Sammelurkunde </w:t>
      </w:r>
      <w:r w:rsidRPr="009F44C6">
        <w:t>überführt werden.</w:t>
      </w:r>
      <w:r w:rsidR="007540CF" w:rsidRPr="009F44C6">
        <w:t>&gt;</w:t>
      </w:r>
      <w:r w:rsidRPr="009F44C6">
        <w:rPr>
          <w:rStyle w:val="Funotenzeichen"/>
        </w:rPr>
        <w:t xml:space="preserve"> </w:t>
      </w:r>
      <w:r w:rsidRPr="009F44C6">
        <w:rPr>
          <w:rStyle w:val="Funotenzeichen"/>
        </w:rPr>
        <w:footnoteReference w:id="1"/>
      </w:r>
    </w:p>
    <w:p w14:paraId="7E81723A" w14:textId="77777777" w:rsidR="002842C9" w:rsidRPr="009F44C6" w:rsidRDefault="002842C9" w:rsidP="00724B8D">
      <w:pPr>
        <w:jc w:val="center"/>
        <w:rPr>
          <w:b/>
        </w:rPr>
      </w:pPr>
      <w:r w:rsidRPr="009F44C6">
        <w:rPr>
          <w:b/>
        </w:rPr>
        <w:t xml:space="preserve">§ 12 Ausgabe und Rücknahme von Anteilen, </w:t>
      </w:r>
      <w:r w:rsidR="0082088C" w:rsidRPr="009F44C6">
        <w:rPr>
          <w:b/>
        </w:rPr>
        <w:br/>
      </w:r>
      <w:r w:rsidRPr="009F44C6">
        <w:rPr>
          <w:b/>
        </w:rPr>
        <w:t>Rücknahmeaussetzung</w:t>
      </w:r>
    </w:p>
    <w:p w14:paraId="47081F05" w14:textId="599DE35C" w:rsidR="00CF1973" w:rsidRPr="009F44C6" w:rsidRDefault="002842C9" w:rsidP="000101B5">
      <w:r w:rsidRPr="009F44C6">
        <w:t xml:space="preserve">1. Die Anzahl der ausgegebenen Anteile ist grundsätzlich nicht beschränkt. </w:t>
      </w:r>
      <w:r w:rsidR="0060681C" w:rsidRPr="009F44C6">
        <w:t xml:space="preserve">Soweit die Besonderen </w:t>
      </w:r>
      <w:r w:rsidR="00BC30D2" w:rsidRPr="009F44C6">
        <w:t>Anlagebedingungen</w:t>
      </w:r>
      <w:r w:rsidR="0060681C" w:rsidRPr="009F44C6">
        <w:t xml:space="preserve"> nichts ander</w:t>
      </w:r>
      <w:r w:rsidR="00D509FE" w:rsidRPr="009F44C6">
        <w:t>e</w:t>
      </w:r>
      <w:r w:rsidR="0060681C" w:rsidRPr="009F44C6">
        <w:t>s vorsehen, erfolgt die Anteilausgabe</w:t>
      </w:r>
      <w:r w:rsidR="008849F8" w:rsidRPr="008849F8">
        <w:t xml:space="preserve"> an jedem Wertermittlungstag im Sinne des § 13 Abs</w:t>
      </w:r>
      <w:r w:rsidR="00D2240A">
        <w:t xml:space="preserve">atz </w:t>
      </w:r>
      <w:proofErr w:type="gramStart"/>
      <w:r w:rsidR="00102215">
        <w:t>5</w:t>
      </w:r>
      <w:r w:rsidR="008849F8" w:rsidRPr="008849F8">
        <w:t>.</w:t>
      </w:r>
      <w:r w:rsidR="0060681C" w:rsidRPr="009F44C6">
        <w:t>;.</w:t>
      </w:r>
      <w:proofErr w:type="gramEnd"/>
      <w:r w:rsidR="0060681C" w:rsidRPr="009F44C6">
        <w:t xml:space="preserve"> </w:t>
      </w:r>
      <w:r w:rsidRPr="009F44C6">
        <w:t xml:space="preserve">Die </w:t>
      </w:r>
      <w:r w:rsidRPr="009F44C6">
        <w:lastRenderedPageBreak/>
        <w:t>Gesell</w:t>
      </w:r>
      <w:r w:rsidR="00B04D32" w:rsidRPr="009F44C6">
        <w:t>schaft behält sich vor, die Aus</w:t>
      </w:r>
      <w:r w:rsidRPr="009F44C6">
        <w:t>gabe von Anteilen vorübergehend oder vollständig einzustellen.</w:t>
      </w:r>
    </w:p>
    <w:p w14:paraId="1D9AD7B6" w14:textId="77777777" w:rsidR="00BE23BF" w:rsidRPr="009F44C6" w:rsidRDefault="002842C9">
      <w:r w:rsidRPr="009F44C6">
        <w:t xml:space="preserve">2. Die Anteile können bei der Gesellschaft, der </w:t>
      </w:r>
      <w:r w:rsidR="00BC30D2" w:rsidRPr="009F44C6">
        <w:t xml:space="preserve">Verwahrstelle </w:t>
      </w:r>
      <w:r w:rsidRPr="009F44C6">
        <w:t>oder durch Ver</w:t>
      </w:r>
      <w:r w:rsidRPr="009F44C6">
        <w:softHyphen/>
        <w:t>mittlung Dritter erworben werden.</w:t>
      </w:r>
      <w:r w:rsidR="002B73E4" w:rsidRPr="009F44C6">
        <w:t xml:space="preserve"> D</w:t>
      </w:r>
      <w:r w:rsidR="006902F1" w:rsidRPr="009F44C6">
        <w:t>ie Besonderen Anlagebedingungen</w:t>
      </w:r>
      <w:r w:rsidR="002B73E4" w:rsidRPr="009F44C6">
        <w:t xml:space="preserve"> können vorsehen, dass Anteile nur von bestimmten Anlegern erworben oder gehalten werden dürfen.</w:t>
      </w:r>
    </w:p>
    <w:p w14:paraId="5852333D" w14:textId="77777777" w:rsidR="00BC30D2" w:rsidRPr="009F44C6" w:rsidRDefault="00BC30D2" w:rsidP="00BC30D2">
      <w:r w:rsidRPr="009F44C6">
        <w:t>3. Die Rückgabe von Anteilen, welche Anleger nach dem 21. Juli 2013 erworben haben, ist ausschließlich nach Maßgabe von Satz 2 möglich. Anteilrückgaben sind erst nach Ablauf einer Mindesthaltefrist von 24 Monaten und unter Einhaltung einer Rückgabefrist von 12 Monaten durch eine unwiderrufliche Rückgabeerklärung gegenüber der depotführenden Stelle möglich. Der Anleger hat seiner depotführenden Stelle für mindestens 24 durchgehende Monate unmittelbar vor dem verlangten Rücknahmetermin einen Anteilbestand nachzuweisen, der mindestens seinem Rücknahmeverlangen entspricht. Die Anteile, auf die sich die Erklärung bezieht, sind bis zur tatsächlichen Rückgabe von der depotführenden Stelle zu sperren. Die Rückgabe von Anteilen, die Anleger vor dem 22. Juli 2013 erworben haben, ist weiterhin nach Maßgabe der Bestimmungen in Absatz 4 und 5 möglich.</w:t>
      </w:r>
    </w:p>
    <w:p w14:paraId="648487FF" w14:textId="77777777" w:rsidR="00BE23BF" w:rsidRPr="009F44C6" w:rsidRDefault="00BC30D2" w:rsidP="007771B7">
      <w:pPr>
        <w:autoSpaceDE w:val="0"/>
        <w:autoSpaceDN w:val="0"/>
        <w:adjustRightInd w:val="0"/>
      </w:pPr>
      <w:r w:rsidRPr="009F44C6">
        <w:t>4</w:t>
      </w:r>
      <w:r w:rsidR="006B14D6" w:rsidRPr="009F44C6">
        <w:t xml:space="preserve">. </w:t>
      </w:r>
      <w:r w:rsidR="001B4A44" w:rsidRPr="009F44C6">
        <w:t>Vorbehaltlich des</w:t>
      </w:r>
      <w:r w:rsidR="006B14D6" w:rsidRPr="009F44C6">
        <w:t xml:space="preserve"> Abs</w:t>
      </w:r>
      <w:r w:rsidR="001B4A44" w:rsidRPr="009F44C6">
        <w:t xml:space="preserve">atzes </w:t>
      </w:r>
      <w:r w:rsidRPr="009F44C6">
        <w:t xml:space="preserve">5 </w:t>
      </w:r>
      <w:r w:rsidR="006B14D6" w:rsidRPr="009F44C6">
        <w:t xml:space="preserve">können die Anleger von der Gesellschaft jederzeit die Rücknahme der Anteile </w:t>
      </w:r>
      <w:r w:rsidR="00B57DF6" w:rsidRPr="009F44C6">
        <w:t xml:space="preserve">zum nächstfolgenden Rücknahmetermin </w:t>
      </w:r>
      <w:r w:rsidR="006B14D6" w:rsidRPr="009F44C6">
        <w:t xml:space="preserve">verlangen, </w:t>
      </w:r>
      <w:r w:rsidR="007771B7" w:rsidRPr="009F44C6">
        <w:t>soweit die Anteilrücknahme 30.000 Euro pro Kalenderhalbjahr für einen Anleger nicht übersteigt</w:t>
      </w:r>
      <w:r w:rsidR="002F2D0A" w:rsidRPr="009F44C6">
        <w:t xml:space="preserve">. </w:t>
      </w:r>
      <w:r w:rsidR="007771B7" w:rsidRPr="009F44C6">
        <w:t xml:space="preserve">Bei Anteilrückgaben nach Satz 1 hat der Anleger gegenüber seiner </w:t>
      </w:r>
      <w:r w:rsidR="007771B7" w:rsidRPr="009F44C6">
        <w:rPr>
          <w:rFonts w:cs="Courier"/>
          <w:szCs w:val="18"/>
        </w:rPr>
        <w:t xml:space="preserve">depotführenden Stelle eine Erklärung abzugeben, dass der Wert </w:t>
      </w:r>
      <w:r w:rsidR="00B57DF6" w:rsidRPr="009F44C6">
        <w:rPr>
          <w:rFonts w:cs="Courier"/>
          <w:szCs w:val="18"/>
        </w:rPr>
        <w:t xml:space="preserve">der von ihm </w:t>
      </w:r>
      <w:r w:rsidR="007771B7" w:rsidRPr="009F44C6">
        <w:rPr>
          <w:rFonts w:cs="Courier"/>
          <w:szCs w:val="18"/>
        </w:rPr>
        <w:t>zurückge</w:t>
      </w:r>
      <w:r w:rsidR="00B57DF6" w:rsidRPr="009F44C6">
        <w:rPr>
          <w:rFonts w:cs="Courier"/>
          <w:szCs w:val="18"/>
        </w:rPr>
        <w:t>ge</w:t>
      </w:r>
      <w:r w:rsidR="007771B7" w:rsidRPr="009F44C6">
        <w:rPr>
          <w:rFonts w:cs="Courier"/>
          <w:szCs w:val="18"/>
        </w:rPr>
        <w:t xml:space="preserve">benen Anteile insgesamt 30.000 Euro nicht übersteigt und keine weiteren Verfügungen </w:t>
      </w:r>
      <w:r w:rsidR="00B57DF6" w:rsidRPr="009F44C6">
        <w:rPr>
          <w:rFonts w:cs="Courier"/>
          <w:szCs w:val="18"/>
        </w:rPr>
        <w:t xml:space="preserve">über Anteile am </w:t>
      </w:r>
      <w:r w:rsidR="00E51CB6" w:rsidRPr="009F44C6">
        <w:rPr>
          <w:rFonts w:cs="Courier"/>
          <w:szCs w:val="18"/>
        </w:rPr>
        <w:t xml:space="preserve">betreffenden </w:t>
      </w:r>
      <w:r w:rsidR="00F8741F" w:rsidRPr="009F44C6">
        <w:rPr>
          <w:rFonts w:cs="Courier"/>
          <w:szCs w:val="18"/>
        </w:rPr>
        <w:t>Immobilien-</w:t>
      </w:r>
      <w:r w:rsidR="00E741CE" w:rsidRPr="009F44C6">
        <w:rPr>
          <w:rFonts w:cs="Courier"/>
          <w:szCs w:val="18"/>
        </w:rPr>
        <w:t>Sondervermögen</w:t>
      </w:r>
      <w:r w:rsidR="007771B7" w:rsidRPr="009F44C6">
        <w:rPr>
          <w:rFonts w:cs="Courier"/>
          <w:szCs w:val="18"/>
        </w:rPr>
        <w:t xml:space="preserve"> im selben Kalenderhalbjahr vorliegen. </w:t>
      </w:r>
    </w:p>
    <w:p w14:paraId="4B621D80" w14:textId="55F19EFD" w:rsidR="00944A7E" w:rsidRDefault="00BC30D2" w:rsidP="001B4A44">
      <w:r w:rsidRPr="009F44C6">
        <w:t>5</w:t>
      </w:r>
      <w:r w:rsidR="002842C9" w:rsidRPr="009F44C6">
        <w:t xml:space="preserve">. </w:t>
      </w:r>
      <w:r w:rsidR="00643444" w:rsidRPr="009F44C6">
        <w:t xml:space="preserve">Anteilrückgaben sind, soweit sie 30.000 Euro pro Kalenderhalbjahr für einen Anleger übersteigen, erst nach Ablauf einer Mindesthaltefrist von 24 Monaten </w:t>
      </w:r>
      <w:r w:rsidR="006B14D6" w:rsidRPr="009F44C6">
        <w:t xml:space="preserve">und unter Einhaltung einer Rückgabefrist von 12 Monaten </w:t>
      </w:r>
      <w:r w:rsidR="001B4A44" w:rsidRPr="009F44C6">
        <w:t xml:space="preserve">durch eine unwiderrufliche </w:t>
      </w:r>
      <w:r w:rsidR="001B4A44" w:rsidRPr="009F44C6">
        <w:lastRenderedPageBreak/>
        <w:t xml:space="preserve">Rückgabeerklärung gegenüber der depotführenden Stelle </w:t>
      </w:r>
      <w:r w:rsidR="00643444" w:rsidRPr="009F44C6">
        <w:t xml:space="preserve">möglich. </w:t>
      </w:r>
      <w:r w:rsidR="001B4A44" w:rsidRPr="009F44C6">
        <w:t>D</w:t>
      </w:r>
      <w:r w:rsidR="00224E0E" w:rsidRPr="009F44C6">
        <w:t xml:space="preserve">er Anleger </w:t>
      </w:r>
      <w:r w:rsidR="001B4A44" w:rsidRPr="009F44C6">
        <w:t>hat</w:t>
      </w:r>
      <w:r w:rsidR="007771B7" w:rsidRPr="009F44C6">
        <w:t xml:space="preserve"> </w:t>
      </w:r>
      <w:r w:rsidR="00224E0E" w:rsidRPr="009F44C6">
        <w:t xml:space="preserve">seiner depotführenden Stelle für mindestens 24 durchgehende Monate </w:t>
      </w:r>
      <w:r w:rsidR="00ED43AC" w:rsidRPr="009F44C6">
        <w:t xml:space="preserve">unmittelbar </w:t>
      </w:r>
      <w:r w:rsidR="00224E0E" w:rsidRPr="009F44C6">
        <w:t>vor dem verlangten Rücknahmetermin einen Anteilbestand nachzuweisen, der mindestens seinem Rücknahmeverlangen entspricht.</w:t>
      </w:r>
      <w:r w:rsidR="00A6606A" w:rsidRPr="009F44C6">
        <w:t xml:space="preserve"> </w:t>
      </w:r>
      <w:r w:rsidR="001B4A44" w:rsidRPr="009F44C6">
        <w:t xml:space="preserve">Die </w:t>
      </w:r>
      <w:r w:rsidR="004A6643" w:rsidRPr="009F44C6">
        <w:t xml:space="preserve">Anteile, auf die sich die Erklärung bezieht, </w:t>
      </w:r>
      <w:r w:rsidR="001B4A44" w:rsidRPr="009F44C6">
        <w:t xml:space="preserve">sind </w:t>
      </w:r>
      <w:r w:rsidR="004A6643" w:rsidRPr="009F44C6">
        <w:t xml:space="preserve">bis zur tatsächlichen Rückgabe von der depotführenden Stelle zu sperren. </w:t>
      </w:r>
    </w:p>
    <w:p w14:paraId="0E128581" w14:textId="77777777" w:rsidR="001947F1" w:rsidRPr="009F44C6" w:rsidRDefault="001947F1" w:rsidP="00424A85">
      <w:pPr>
        <w:pBdr>
          <w:top w:val="single" w:sz="4" w:space="1" w:color="auto"/>
          <w:left w:val="single" w:sz="4" w:space="4" w:color="auto"/>
          <w:bottom w:val="single" w:sz="4" w:space="1" w:color="auto"/>
          <w:right w:val="single" w:sz="4" w:space="4" w:color="auto"/>
        </w:pBdr>
        <w:shd w:val="clear" w:color="auto" w:fill="D9D9D9"/>
      </w:pPr>
      <w:r w:rsidRPr="009F44C6">
        <w:t>Bearbeiterhinweis:</w:t>
      </w:r>
    </w:p>
    <w:p w14:paraId="77985CB5" w14:textId="77777777" w:rsidR="00424A85" w:rsidRPr="009F44C6" w:rsidRDefault="001947F1" w:rsidP="00424A85">
      <w:pPr>
        <w:pBdr>
          <w:top w:val="single" w:sz="4" w:space="1" w:color="auto"/>
          <w:left w:val="single" w:sz="4" w:space="4" w:color="auto"/>
          <w:bottom w:val="single" w:sz="4" w:space="1" w:color="auto"/>
          <w:right w:val="single" w:sz="4" w:space="4" w:color="auto"/>
        </w:pBdr>
        <w:shd w:val="clear" w:color="auto" w:fill="D9D9D9"/>
      </w:pPr>
      <w:r w:rsidRPr="009F44C6">
        <w:t xml:space="preserve">Sofern das </w:t>
      </w:r>
      <w:r w:rsidR="00E741CE" w:rsidRPr="009F44C6">
        <w:t>Sondervermögen</w:t>
      </w:r>
      <w:r w:rsidRPr="009F44C6">
        <w:t xml:space="preserve"> nach Inkrafttreten des KAGB am 22. Juli 2013 aufgelegt wird, </w:t>
      </w:r>
      <w:r w:rsidR="00E102B0" w:rsidRPr="009F44C6">
        <w:t xml:space="preserve">sind </w:t>
      </w:r>
      <w:r w:rsidRPr="009F44C6">
        <w:t>Absätze 3,</w:t>
      </w:r>
      <w:r w:rsidR="00256422" w:rsidRPr="009F44C6">
        <w:t xml:space="preserve"> </w:t>
      </w:r>
      <w:r w:rsidRPr="009F44C6">
        <w:t xml:space="preserve">4 und 5 </w:t>
      </w:r>
      <w:r w:rsidR="00E102B0" w:rsidRPr="009F44C6">
        <w:t>durch folgenden</w:t>
      </w:r>
      <w:r w:rsidRPr="009F44C6">
        <w:t xml:space="preserve"> Text </w:t>
      </w:r>
      <w:r w:rsidR="00E102B0" w:rsidRPr="009F44C6">
        <w:t>zu ersetzen</w:t>
      </w:r>
      <w:r w:rsidRPr="009F44C6">
        <w:t>:</w:t>
      </w:r>
    </w:p>
    <w:p w14:paraId="2B298A76" w14:textId="77777777" w:rsidR="001947F1" w:rsidRPr="009F44C6" w:rsidRDefault="00E102B0" w:rsidP="00424A85">
      <w:pPr>
        <w:pBdr>
          <w:top w:val="single" w:sz="4" w:space="1" w:color="auto"/>
          <w:left w:val="single" w:sz="4" w:space="4" w:color="auto"/>
          <w:bottom w:val="single" w:sz="4" w:space="1" w:color="auto"/>
          <w:right w:val="single" w:sz="4" w:space="4" w:color="auto"/>
        </w:pBdr>
        <w:shd w:val="clear" w:color="auto" w:fill="D9D9D9"/>
      </w:pPr>
      <w:r w:rsidRPr="009F44C6">
        <w:t>„</w:t>
      </w:r>
      <w:r w:rsidR="00E51CB6" w:rsidRPr="009F44C6">
        <w:t xml:space="preserve">3. </w:t>
      </w:r>
      <w:r w:rsidR="001947F1" w:rsidRPr="009F44C6">
        <w:t>Anteilrückgaben sind erst nach Ablauf einer Mindesthaltefrist von 24 Monaten und unter Einhaltung einer Rückgabefrist von 12 Monaten durch eine unwiderrufliche Rückgabeerklärung gegenüber der depotführenden Stelle möglich. Der Anleger hat seiner depotführenden Stelle für mindestens 24 durchgehende Monate unmittelbar vor dem verlangten Rücknahmetermin einen Anteilbestand nachzuweisen, der mindestens seinem Rücknahmeverlangen entspricht. Die Anteile, auf die sich die Erklärung bezieht, sind bis zur tatsächlichen Rückgabe von der depotführenden Stelle zu sperren.</w:t>
      </w:r>
      <w:r w:rsidR="00F313BA" w:rsidRPr="009F44C6">
        <w:t>“</w:t>
      </w:r>
    </w:p>
    <w:p w14:paraId="73B18A56" w14:textId="77777777" w:rsidR="002842C9" w:rsidRPr="009F44C6" w:rsidRDefault="00BC30D2">
      <w:r w:rsidRPr="009F44C6">
        <w:t>6</w:t>
      </w:r>
      <w:r w:rsidR="004A6643" w:rsidRPr="009F44C6">
        <w:t xml:space="preserve">. </w:t>
      </w:r>
      <w:r w:rsidR="002842C9" w:rsidRPr="009F44C6">
        <w:t xml:space="preserve">Die Gesellschaft ist verpflichtet, die Anteile zum jeweils geltenden Rücknahmepreis für Rechnung </w:t>
      </w:r>
      <w:r w:rsidR="00B04D32" w:rsidRPr="009F44C6">
        <w:t xml:space="preserve">des </w:t>
      </w:r>
      <w:r w:rsidR="00E741CE" w:rsidRPr="009F44C6">
        <w:t>Sondervermögen</w:t>
      </w:r>
      <w:r w:rsidR="00B04D32" w:rsidRPr="009F44C6">
        <w:t>s zurückzuneh</w:t>
      </w:r>
      <w:r w:rsidR="002842C9" w:rsidRPr="009F44C6">
        <w:t xml:space="preserve">men. Rücknahmestelle ist die </w:t>
      </w:r>
      <w:r w:rsidR="00DF0866" w:rsidRPr="009F44C6">
        <w:t>Verwahrstelle</w:t>
      </w:r>
      <w:r w:rsidR="002842C9" w:rsidRPr="009F44C6">
        <w:t>.</w:t>
      </w:r>
    </w:p>
    <w:p w14:paraId="7D14EB4B" w14:textId="77777777" w:rsidR="000615C4" w:rsidRPr="009F44C6" w:rsidRDefault="00BC30D2" w:rsidP="000615C4">
      <w:r w:rsidRPr="009F44C6">
        <w:t>7</w:t>
      </w:r>
      <w:r w:rsidR="002842C9" w:rsidRPr="009F44C6">
        <w:t>. Der Gesellschaft bleibt jedoch vorbehalten, die Rücknahme der Anteile aus</w:t>
      </w:r>
      <w:r w:rsidR="002842C9" w:rsidRPr="009F44C6">
        <w:softHyphen/>
        <w:t>zusetzen, wenn außergewöhnliche Umstände vorliegen, die eine Aussetzung unter Berücksichtigung der Interessen der Anleger erforderlich erscheinen lassen</w:t>
      </w:r>
      <w:r w:rsidR="003F2FA8" w:rsidRPr="009F44C6">
        <w:t xml:space="preserve"> (§ </w:t>
      </w:r>
      <w:r w:rsidR="00DF0866" w:rsidRPr="009F44C6">
        <w:t>98 Absatz 2 KAGB</w:t>
      </w:r>
      <w:r w:rsidR="003F2FA8" w:rsidRPr="009F44C6">
        <w:t>)</w:t>
      </w:r>
      <w:r w:rsidR="002842C9" w:rsidRPr="009F44C6">
        <w:t>.</w:t>
      </w:r>
    </w:p>
    <w:p w14:paraId="4AA5DA59" w14:textId="36094737" w:rsidR="0076430B" w:rsidRDefault="00BC30D2" w:rsidP="00FB4349">
      <w:pPr>
        <w:spacing w:after="240"/>
        <w:rPr>
          <w:rStyle w:val="RevisionText"/>
          <w:color w:val="auto"/>
        </w:rPr>
      </w:pPr>
      <w:r w:rsidRPr="009F44C6">
        <w:t>8</w:t>
      </w:r>
      <w:r w:rsidR="002842C9" w:rsidRPr="009F44C6">
        <w:t xml:space="preserve">. </w:t>
      </w:r>
      <w:r w:rsidR="0044440F">
        <w:t xml:space="preserve">Die Gesellschaft hat </w:t>
      </w:r>
      <w:r w:rsidR="002842C9" w:rsidRPr="009F44C6">
        <w:t>die Rücknahme der Anteile zu verweigern</w:t>
      </w:r>
      <w:r w:rsidR="00D0678F" w:rsidRPr="009F44C6">
        <w:t xml:space="preserve"> und auszusetzen</w:t>
      </w:r>
      <w:r w:rsidR="00DF0866" w:rsidRPr="009F44C6">
        <w:t xml:space="preserve">, wenn </w:t>
      </w:r>
      <w:r w:rsidR="002842C9" w:rsidRPr="009F44C6">
        <w:t xml:space="preserve">die Bankguthaben und die Erlöse aus Verkäufen der gehaltenen </w:t>
      </w:r>
      <w:r w:rsidR="002842C9" w:rsidRPr="009F44C6">
        <w:lastRenderedPageBreak/>
        <w:t>Geldmarktinstrumente, Investmentanteile und Wertpapiere zur Zahlung des Rücknahmepreises und zur Sicherstellung einer ordnungsgemäßen laufenden Bewirtschaftung nicht aus</w:t>
      </w:r>
      <w:r w:rsidR="00DF0866" w:rsidRPr="009F44C6">
        <w:t>reichen</w:t>
      </w:r>
      <w:r w:rsidR="002842C9" w:rsidRPr="009F44C6">
        <w:t xml:space="preserve"> oder nicht sogleich zur Verfügung</w:t>
      </w:r>
      <w:r w:rsidR="00DF0866" w:rsidRPr="009F44C6">
        <w:t xml:space="preserve"> stehen</w:t>
      </w:r>
      <w:r w:rsidR="0044440F">
        <w:t xml:space="preserve"> </w:t>
      </w:r>
      <w:r w:rsidR="0044440F" w:rsidRPr="009F44C6">
        <w:t>(§ 257 KAGB)</w:t>
      </w:r>
      <w:r w:rsidR="00DF0866" w:rsidRPr="009F44C6">
        <w:t>.</w:t>
      </w:r>
      <w:r w:rsidR="0098767A" w:rsidRPr="009F44C6">
        <w:t xml:space="preserve"> Zur Beschaffung der für die Rücknahme der Anteile notwendigen Mittel hat die Gesellschaft Vermögensgegenstände des </w:t>
      </w:r>
      <w:r w:rsidR="00E741CE" w:rsidRPr="009F44C6">
        <w:t>Sondervermögen</w:t>
      </w:r>
      <w:r w:rsidR="0098767A" w:rsidRPr="009F44C6">
        <w:t>s zu angemessenen Bedingungen zu veräußern. Reichen die liquiden Mittel gemäß § 253 Absatz 1 KAGB zwölf Monate nach der Aussetzung der Rücknahme ge</w:t>
      </w:r>
      <w:r w:rsidR="00E102B0" w:rsidRPr="009F44C6">
        <w:t xml:space="preserve">mäß </w:t>
      </w:r>
      <w:r w:rsidR="0098767A" w:rsidRPr="009F44C6">
        <w:t xml:space="preserve">Satz 1 nicht aus, so hat </w:t>
      </w:r>
      <w:r w:rsidR="00E741CE" w:rsidRPr="009F44C6">
        <w:t>die G</w:t>
      </w:r>
      <w:r w:rsidR="0098767A" w:rsidRPr="009F44C6">
        <w:t xml:space="preserve">esellschaft die Rücknahme weiterhin zu verweigern und durch Veräußerung von Vermögensgegenständen des </w:t>
      </w:r>
      <w:r w:rsidR="00E741CE" w:rsidRPr="009F44C6">
        <w:t>Sondervermögen</w:t>
      </w:r>
      <w:r w:rsidR="0098767A" w:rsidRPr="009F44C6">
        <w:t xml:space="preserve">s weitere liquide Mittel zu beschaffen. Der Veräußerungserlös kann abweichend von § 260 Absatz 1 Satz 1 KAGB den dort genannten Wert um bis zu 10 </w:t>
      </w:r>
      <w:r w:rsidR="00C74F54" w:rsidRPr="009F44C6">
        <w:t xml:space="preserve">% </w:t>
      </w:r>
      <w:r w:rsidR="0098767A" w:rsidRPr="009F44C6">
        <w:t>unterschreiten. Reichen die liquiden Mittel gemäß § 253 Absatz 1 KAGB auch 24 Monate nach der Aussetzung der Rück</w:t>
      </w:r>
      <w:r w:rsidR="00E102B0" w:rsidRPr="009F44C6">
        <w:t xml:space="preserve">nahme gemäß </w:t>
      </w:r>
      <w:r w:rsidR="0098767A" w:rsidRPr="009F44C6">
        <w:t xml:space="preserve">Satz 1 nicht aus, hat die Gesellschaft die Rücknahme der Anteile weiterhin zu verweigern und durch Veräußerung von Vermögensgegenständen des </w:t>
      </w:r>
      <w:r w:rsidR="00E741CE" w:rsidRPr="009F44C6">
        <w:t>Sondervermögen</w:t>
      </w:r>
      <w:r w:rsidR="0098767A" w:rsidRPr="009F44C6">
        <w:t xml:space="preserve">s weitere liquide Mittel zu beschaffen. Der Veräußerungserlös kann abweichend von § 260 Absatz 1 Satz 1 KAGB den dort genannten Wert um bis zu 20 </w:t>
      </w:r>
      <w:r w:rsidR="00C74F54" w:rsidRPr="009F44C6">
        <w:t xml:space="preserve">% </w:t>
      </w:r>
      <w:r w:rsidR="0098767A" w:rsidRPr="009F44C6">
        <w:t>unterschreiten. 36 Monate nach der Aussetzung der Rücknahm</w:t>
      </w:r>
      <w:r w:rsidR="00E102B0" w:rsidRPr="009F44C6">
        <w:t xml:space="preserve">e gemäß </w:t>
      </w:r>
      <w:r w:rsidR="0098767A" w:rsidRPr="009F44C6">
        <w:t xml:space="preserve">Satz 1 kann jeder Anleger verlangen, dass ihm gegen Rückgabe des Anteils sein Anteil am </w:t>
      </w:r>
      <w:r w:rsidR="00E741CE" w:rsidRPr="009F44C6">
        <w:t>Sondervermögen</w:t>
      </w:r>
      <w:r w:rsidR="0098767A" w:rsidRPr="009F44C6">
        <w:t xml:space="preserve"> aus diesem ausgezahlt wird. Reichen auch 36 Monate nach der Aussetzung der Rücknahme die Bankguthaben und die liquiden Mittel nicht aus, so erlischt das Recht der Gesellschaft, das </w:t>
      </w:r>
      <w:r w:rsidR="00E741CE" w:rsidRPr="009F44C6">
        <w:t>Sondervermögen</w:t>
      </w:r>
      <w:r w:rsidR="0098767A" w:rsidRPr="009F44C6">
        <w:t xml:space="preserve"> zu verwalten; dies gilt auch, wenn die Gesellschaft zum dritten Mal binnen fünf Jahren die Rücknahme von Anteilen aussetzt. Ein erneuter Fristlauf nach den Sätzen 1 bis </w:t>
      </w:r>
      <w:r w:rsidR="00E51CB6" w:rsidRPr="009F44C6">
        <w:t xml:space="preserve">7 </w:t>
      </w:r>
      <w:r w:rsidR="0098767A" w:rsidRPr="009F44C6">
        <w:t xml:space="preserve">kommt nicht in Betracht, wenn die Gesellschaft die Anteilrücknahme </w:t>
      </w:r>
      <w:r w:rsidR="0098767A" w:rsidRPr="009F44C6">
        <w:rPr>
          <w:rStyle w:val="RevisionText"/>
          <w:color w:val="auto"/>
        </w:rPr>
        <w:t>binnen drei Monaten erneut aussetzt</w:t>
      </w:r>
      <w:r w:rsidR="00C413D6" w:rsidRPr="009F44C6">
        <w:rPr>
          <w:rStyle w:val="RevisionText"/>
          <w:color w:val="auto"/>
        </w:rPr>
        <w:t>.</w:t>
      </w:r>
    </w:p>
    <w:p w14:paraId="0470615C" w14:textId="77777777" w:rsidR="00C413D6" w:rsidRPr="009F44C6" w:rsidRDefault="00C413D6" w:rsidP="00FB4349">
      <w:pPr>
        <w:pBdr>
          <w:top w:val="single" w:sz="4" w:space="1" w:color="auto"/>
          <w:left w:val="single" w:sz="4" w:space="4" w:color="auto"/>
          <w:bottom w:val="single" w:sz="4" w:space="1" w:color="auto"/>
          <w:right w:val="single" w:sz="4" w:space="4" w:color="auto"/>
        </w:pBdr>
        <w:shd w:val="clear" w:color="auto" w:fill="D9D9D9"/>
      </w:pPr>
      <w:r w:rsidRPr="009F44C6">
        <w:t>Bearbeiterhinweis:</w:t>
      </w:r>
    </w:p>
    <w:p w14:paraId="6653C3B6" w14:textId="77777777" w:rsidR="00C413D6" w:rsidRPr="009F44C6" w:rsidRDefault="00C413D6" w:rsidP="00FB4349">
      <w:pPr>
        <w:pBdr>
          <w:top w:val="single" w:sz="4" w:space="1" w:color="auto"/>
          <w:left w:val="single" w:sz="4" w:space="4" w:color="auto"/>
          <w:bottom w:val="single" w:sz="4" w:space="1" w:color="auto"/>
          <w:right w:val="single" w:sz="4" w:space="4" w:color="auto"/>
        </w:pBdr>
        <w:shd w:val="clear" w:color="auto" w:fill="D9D9D9"/>
      </w:pPr>
      <w:r w:rsidRPr="009F44C6">
        <w:t xml:space="preserve">Falls die Anlagebedingungen vier </w:t>
      </w:r>
      <w:r w:rsidR="00E51CB6" w:rsidRPr="009F44C6">
        <w:t xml:space="preserve">oder weniger </w:t>
      </w:r>
      <w:r w:rsidRPr="009F44C6">
        <w:t>Rückgabetermine im Jahr vorsehen, soll</w:t>
      </w:r>
      <w:r w:rsidR="00844760" w:rsidRPr="009F44C6">
        <w:t>te</w:t>
      </w:r>
      <w:r w:rsidR="000269A6" w:rsidRPr="009F44C6">
        <w:t xml:space="preserve"> folgender Satz ergänzt werden:</w:t>
      </w:r>
    </w:p>
    <w:p w14:paraId="36880D49" w14:textId="77777777" w:rsidR="00F50EDF" w:rsidRPr="009F44C6" w:rsidRDefault="00C413D6" w:rsidP="00FB4349">
      <w:pPr>
        <w:pBdr>
          <w:top w:val="single" w:sz="4" w:space="1" w:color="auto"/>
          <w:left w:val="single" w:sz="4" w:space="4" w:color="auto"/>
          <w:bottom w:val="single" w:sz="4" w:space="1" w:color="auto"/>
          <w:right w:val="single" w:sz="4" w:space="4" w:color="auto"/>
        </w:pBdr>
        <w:shd w:val="clear" w:color="auto" w:fill="D9D9D9"/>
      </w:pPr>
      <w:r w:rsidRPr="009F44C6">
        <w:lastRenderedPageBreak/>
        <w:t xml:space="preserve">„Ein erneuter Fristlauf nach den Sätzen 1 bis </w:t>
      </w:r>
      <w:r w:rsidR="00E51CB6" w:rsidRPr="009F44C6">
        <w:t xml:space="preserve">7 </w:t>
      </w:r>
      <w:r w:rsidRPr="009F44C6">
        <w:t xml:space="preserve">kommt nicht in Betracht, falls die Gesellschaft die Anteilrücknahme nur zu einem Rücknahmetermin wieder aufgenommen hat, aber zum </w:t>
      </w:r>
      <w:proofErr w:type="gramStart"/>
      <w:r w:rsidRPr="009F44C6">
        <w:t>darauf folgenden</w:t>
      </w:r>
      <w:proofErr w:type="gramEnd"/>
      <w:r w:rsidRPr="009F44C6">
        <w:t xml:space="preserve"> Rücknahmetermin die Anteilrücknahme erneut unter Berufung auf Absatz 8 Satz 1 verweigert.“</w:t>
      </w:r>
    </w:p>
    <w:p w14:paraId="1C728024" w14:textId="28013E9A" w:rsidR="00F50EDF" w:rsidRPr="009F44C6" w:rsidRDefault="00BC30D2" w:rsidP="00F50EDF">
      <w:r w:rsidRPr="009F44C6">
        <w:t>9</w:t>
      </w:r>
      <w:r w:rsidR="00F50EDF" w:rsidRPr="009F44C6">
        <w:t xml:space="preserve">. Die </w:t>
      </w:r>
      <w:r w:rsidR="00C413D6" w:rsidRPr="009F44C6">
        <w:t xml:space="preserve">Gesellschaft </w:t>
      </w:r>
      <w:r w:rsidR="00F50EDF" w:rsidRPr="009F44C6">
        <w:t>hat die Anleger durch eine Bekanntmachung im Bundesanzeiger und darüber hinaus in einer hinreichend verbreiteten Wirtschafts- oder Tageszeitung oder in den in dem Verkaufsprospe</w:t>
      </w:r>
      <w:r w:rsidR="00996541" w:rsidRPr="009F44C6">
        <w:t xml:space="preserve">kt bezeichneten elektronischen </w:t>
      </w:r>
      <w:r w:rsidR="00F50EDF" w:rsidRPr="009F44C6">
        <w:t xml:space="preserve">Informationsmedien über die Aussetzung gemäß Absatz </w:t>
      </w:r>
      <w:r w:rsidR="00C413D6" w:rsidRPr="009F44C6">
        <w:t xml:space="preserve">7 </w:t>
      </w:r>
      <w:r w:rsidR="00F50EDF" w:rsidRPr="009F44C6">
        <w:t xml:space="preserve">und Absatz </w:t>
      </w:r>
      <w:r w:rsidR="00C413D6" w:rsidRPr="009F44C6">
        <w:t xml:space="preserve">8 </w:t>
      </w:r>
      <w:r w:rsidR="00F50EDF" w:rsidRPr="009F44C6">
        <w:t>und die Wiederaufnahme der Rücknahme der Anteile zu unterrichten. Die Anleger sind über die Aussetzung und Wiederaufnahme der Rücknahme der Anteile unverzügl</w:t>
      </w:r>
      <w:r w:rsidR="002E3DE2" w:rsidRPr="009F44C6">
        <w:t xml:space="preserve">ich nach der Bekanntmachung im </w:t>
      </w:r>
      <w:r w:rsidR="00F50EDF" w:rsidRPr="009F44C6">
        <w:t xml:space="preserve">Bundesanzeiger </w:t>
      </w:r>
      <w:r w:rsidR="00F50EDF" w:rsidRPr="000F0AF7">
        <w:t>mittels eines dauerhaften Datenträgers zu unterrichten.</w:t>
      </w:r>
      <w:r w:rsidR="00010B9D" w:rsidRPr="009F44C6">
        <w:t xml:space="preserve"> </w:t>
      </w:r>
      <w:r w:rsidR="000C76EA" w:rsidRPr="009F44C6">
        <w:t xml:space="preserve">Bei der Wiederaufnahme der Rücknahme von Anteilen sind die neuen Ausgabe- und Rücknahmepreise im Bundesanzeiger und in einer hinreichend verbreiteten Wirtschafts- oder Tageszeitung </w:t>
      </w:r>
      <w:r w:rsidR="00F8741F" w:rsidRPr="009F44C6">
        <w:t xml:space="preserve">oder in </w:t>
      </w:r>
      <w:r w:rsidR="00B47FBF" w:rsidRPr="009F44C6">
        <w:t>den</w:t>
      </w:r>
      <w:r w:rsidR="00F8741F" w:rsidRPr="009F44C6">
        <w:t xml:space="preserve"> im Verkaufsprospekt bezeichneten elektronischen Informationsmedien </w:t>
      </w:r>
      <w:r w:rsidR="000C76EA" w:rsidRPr="009F44C6">
        <w:t xml:space="preserve">zu veröffentlichen. </w:t>
      </w:r>
    </w:p>
    <w:p w14:paraId="6FAA97A7" w14:textId="77777777" w:rsidR="00424A85" w:rsidRPr="009F44C6" w:rsidRDefault="00BC30D2" w:rsidP="00F81D58">
      <w:pPr>
        <w:spacing w:after="480"/>
      </w:pPr>
      <w:r w:rsidRPr="009F44C6">
        <w:t>10</w:t>
      </w:r>
      <w:r w:rsidR="00336328" w:rsidRPr="009F44C6">
        <w:t xml:space="preserve">. Die Anleger können durch Mehrheitsbeschluss </w:t>
      </w:r>
      <w:r w:rsidR="00A23F2A" w:rsidRPr="009F44C6">
        <w:t xml:space="preserve">gemäß § </w:t>
      </w:r>
      <w:r w:rsidR="00915025" w:rsidRPr="009F44C6">
        <w:t>259 Absatz 2 KAGB</w:t>
      </w:r>
      <w:r w:rsidR="00A23F2A" w:rsidRPr="009F44C6">
        <w:t xml:space="preserve"> </w:t>
      </w:r>
      <w:r w:rsidR="00336328" w:rsidRPr="009F44C6">
        <w:t xml:space="preserve">in die Veräußerung bestimmter Immobilien einwilligen, auch wenn diese Veräußerung </w:t>
      </w:r>
      <w:r w:rsidR="0063494A" w:rsidRPr="009F44C6">
        <w:t xml:space="preserve">nicht </w:t>
      </w:r>
      <w:r w:rsidR="00337F38" w:rsidRPr="009F44C6">
        <w:t xml:space="preserve">zu </w:t>
      </w:r>
      <w:r w:rsidR="0063494A" w:rsidRPr="009F44C6">
        <w:t>angemessenen</w:t>
      </w:r>
      <w:r w:rsidR="00336328" w:rsidRPr="009F44C6">
        <w:t xml:space="preserve"> Bedingungen erfolgt. </w:t>
      </w:r>
      <w:r w:rsidR="00E964C7" w:rsidRPr="009F44C6">
        <w:t>Die Einwilligung ist unwiderruflich; sie verpflichtet die Gesellschaft nicht zur Veräußerung.</w:t>
      </w:r>
      <w:r w:rsidR="00336328" w:rsidRPr="009F44C6">
        <w:t xml:space="preserve"> </w:t>
      </w:r>
      <w:r w:rsidR="00E964C7" w:rsidRPr="009F44C6">
        <w:t xml:space="preserve">Die Abstimmung soll ohne Versammlung der Anleger durchgeführt werden, wenn nicht außergewöhnliche Umstände eine Versammlung zum Zweck der Information der Anleger erforderlich machen. </w:t>
      </w:r>
      <w:r w:rsidR="00BA7DA8" w:rsidRPr="009F44C6">
        <w:t xml:space="preserve">An der Abstimmung nimmt jeder Anleger nach Maßgabe des rechnerischen Anteils seiner Beteiligung am Fondsvermögen teil. </w:t>
      </w:r>
      <w:r w:rsidR="00A62821" w:rsidRPr="009F44C6">
        <w:t xml:space="preserve">Die Anleger entscheiden mit der einfachen Mehrheit der </w:t>
      </w:r>
      <w:r w:rsidR="0063494A" w:rsidRPr="009F44C6">
        <w:t xml:space="preserve">an der Abstimmung teilnehmenden </w:t>
      </w:r>
      <w:r w:rsidR="00A62821" w:rsidRPr="009F44C6">
        <w:t xml:space="preserve">Stimmrechte. </w:t>
      </w:r>
      <w:r w:rsidR="00E964C7" w:rsidRPr="009F44C6">
        <w:t>Ein Beschluss der Anleger ist nur wirksam, wenn mindestens 30</w:t>
      </w:r>
      <w:r w:rsidR="00D546A6">
        <w:t>%</w:t>
      </w:r>
      <w:r w:rsidR="00E964C7" w:rsidRPr="009F44C6">
        <w:t xml:space="preserve"> der Stimmrechte bei der Beschlussfassung vertreten waren.</w:t>
      </w:r>
      <w:r w:rsidR="00BA7DA8" w:rsidRPr="009F44C6">
        <w:t xml:space="preserve"> Die Aufforderung zur Abstimmung oder die Einberufung der Anlegerversammlung </w:t>
      </w:r>
      <w:r w:rsidR="00A23F2A" w:rsidRPr="009F44C6">
        <w:t xml:space="preserve">sowie der Beschluss der Anleger </w:t>
      </w:r>
      <w:r w:rsidR="00010B9D" w:rsidRPr="009F44C6">
        <w:t xml:space="preserve">sind im </w:t>
      </w:r>
      <w:r w:rsidR="00BA7DA8" w:rsidRPr="009F44C6">
        <w:t>Bundesanzeiger</w:t>
      </w:r>
      <w:r w:rsidR="00A23F2A" w:rsidRPr="009F44C6">
        <w:t xml:space="preserve"> und darüber hinaus in den im Verkaufsprospekt bezeichneten elektronischen Informationsmedien bekannt zu machen. Eine </w:t>
      </w:r>
      <w:r w:rsidR="00A23F2A" w:rsidRPr="009F44C6">
        <w:lastRenderedPageBreak/>
        <w:t>einberufene Anlegerversammlung bleibt von der Wiederaufnahme der Anteilrücknahme unberührt.</w:t>
      </w:r>
      <w:r w:rsidR="00BA7DA8" w:rsidRPr="009F44C6">
        <w:t xml:space="preserve"> </w:t>
      </w:r>
    </w:p>
    <w:p w14:paraId="7E88D2CE" w14:textId="23717204" w:rsidR="002842C9" w:rsidRPr="009F44C6" w:rsidRDefault="002842C9">
      <w:pPr>
        <w:jc w:val="center"/>
        <w:rPr>
          <w:b/>
        </w:rPr>
      </w:pPr>
      <w:r w:rsidRPr="009F44C6">
        <w:rPr>
          <w:b/>
        </w:rPr>
        <w:t>§ 13 Ausgabe- und Rücknahmepreis</w:t>
      </w:r>
      <w:r w:rsidR="006B750C">
        <w:rPr>
          <w:b/>
        </w:rPr>
        <w:t>, Nettoinventarwert und Anteilwert</w:t>
      </w:r>
    </w:p>
    <w:p w14:paraId="620C33D3" w14:textId="1CFDDDF4" w:rsidR="002842C9" w:rsidRPr="009F44C6" w:rsidRDefault="002842C9">
      <w:r w:rsidRPr="009F44C6">
        <w:t xml:space="preserve">1. Zur </w:t>
      </w:r>
      <w:r w:rsidR="007E64E2">
        <w:t xml:space="preserve">Berechnung </w:t>
      </w:r>
      <w:r w:rsidRPr="009F44C6">
        <w:t xml:space="preserve">des Ausgabe- und Rücknahmepreises der Anteile </w:t>
      </w:r>
      <w:r w:rsidR="00EA3943" w:rsidRPr="009F44C6">
        <w:t xml:space="preserve">werden die Verkehrswerte der zum Sondervermögen gehörenden Vermögensgegenstände abzüglich der aufgenommenen Kredite und sonstigen Verbindlichkeiten </w:t>
      </w:r>
      <w:r w:rsidR="00747EBC" w:rsidRPr="009F44C6">
        <w:t xml:space="preserve">und Rückstellungen </w:t>
      </w:r>
      <w:r w:rsidR="00EA3943" w:rsidRPr="009F44C6">
        <w:t xml:space="preserve">(Nettoinventarwert) </w:t>
      </w:r>
      <w:r w:rsidRPr="009F44C6">
        <w:t>ermittelt und durch die Zahl der umlaufenden Anteile geteilt (</w:t>
      </w:r>
      <w:r w:rsidR="0035062E" w:rsidRPr="009F44C6">
        <w:t>„</w:t>
      </w:r>
      <w:r w:rsidRPr="009F44C6">
        <w:t>Anteilwert</w:t>
      </w:r>
      <w:r w:rsidR="0035062E" w:rsidRPr="009F44C6">
        <w:t>“</w:t>
      </w:r>
      <w:r w:rsidRPr="009F44C6">
        <w:t xml:space="preserve">). Werden gemäß § 11 </w:t>
      </w:r>
      <w:r w:rsidR="00010B9D" w:rsidRPr="009F44C6">
        <w:t>Absatz</w:t>
      </w:r>
      <w:r w:rsidRPr="009F44C6">
        <w:t xml:space="preserve"> 2 unterschiedliche Anteilklassen für das </w:t>
      </w:r>
      <w:r w:rsidR="00E741CE" w:rsidRPr="009F44C6">
        <w:t>Sondervermögen</w:t>
      </w:r>
      <w:r w:rsidRPr="009F44C6">
        <w:t xml:space="preserve"> eingeführt, ist der Anteilwert sowie der Ausgabe-</w:t>
      </w:r>
      <w:r w:rsidR="004964E6" w:rsidRPr="009F44C6">
        <w:t xml:space="preserve"> und Rücknahmepreis für jede An</w:t>
      </w:r>
      <w:r w:rsidRPr="009F44C6">
        <w:t xml:space="preserve">teilklasse gesondert zu ermitteln. Die Bewertung der Vermögensgegenstände erfolgt gemäß den Grundsätzen für die Kurs- und Preisfeststellung, die im </w:t>
      </w:r>
      <w:r w:rsidR="00915025" w:rsidRPr="009F44C6">
        <w:t xml:space="preserve">KAGB </w:t>
      </w:r>
      <w:r w:rsidRPr="009F44C6">
        <w:t xml:space="preserve">und </w:t>
      </w:r>
      <w:r w:rsidR="00505C8E" w:rsidRPr="009F44C6">
        <w:t xml:space="preserve">der </w:t>
      </w:r>
      <w:r w:rsidR="00915025" w:rsidRPr="009F44C6">
        <w:t xml:space="preserve">Kapitalanlage-Rechnungslegungs- und </w:t>
      </w:r>
      <w:r w:rsidR="00F8741F" w:rsidRPr="009F44C6">
        <w:t>-</w:t>
      </w:r>
      <w:r w:rsidR="00915025" w:rsidRPr="009F44C6">
        <w:t xml:space="preserve">Bewertungsverordnung (KARBV) </w:t>
      </w:r>
      <w:r w:rsidR="00C96069" w:rsidRPr="009F44C6">
        <w:t>genannt sind</w:t>
      </w:r>
      <w:r w:rsidRPr="009F44C6">
        <w:t>.</w:t>
      </w:r>
    </w:p>
    <w:p w14:paraId="092D23C3" w14:textId="77777777" w:rsidR="002842C9" w:rsidRPr="009F44C6" w:rsidRDefault="002842C9">
      <w:pPr>
        <w:rPr>
          <w:i/>
        </w:rPr>
      </w:pPr>
      <w:r w:rsidRPr="009F44C6">
        <w:t>2. Bei Festsetzung des Ausgabepreises kann dem Anteilwert zur Abgeltung der Ausgabekosten ein Ausgabeaufschlag hinzugerechnet werden. Außer dem Aus</w:t>
      </w:r>
      <w:r w:rsidRPr="009F44C6">
        <w:softHyphen/>
        <w:t xml:space="preserve">gabeaufschlag werden von der Gesellschaft weitere Beträge von den Zahlungen des Anteilerwerbers zur Deckung von Kosten nur dann verwendet, wenn dies die Besonderen </w:t>
      </w:r>
      <w:r w:rsidR="00915025" w:rsidRPr="009F44C6">
        <w:t>Anlagebedingungen</w:t>
      </w:r>
      <w:r w:rsidRPr="009F44C6">
        <w:t xml:space="preserve"> vorsehen. </w:t>
      </w:r>
    </w:p>
    <w:p w14:paraId="23C197DB" w14:textId="77777777" w:rsidR="002842C9" w:rsidRPr="009F44C6" w:rsidRDefault="002842C9">
      <w:pPr>
        <w:rPr>
          <w:i/>
        </w:rPr>
      </w:pPr>
      <w:r w:rsidRPr="009F44C6">
        <w:t xml:space="preserve">3. Der Rücknahmepreis ist der vorbehaltlich eines Rücknahmeabschlages nach Absatz 1 ermittelte Anteilwert. Soweit in den Besonderen </w:t>
      </w:r>
      <w:r w:rsidR="00915025" w:rsidRPr="009F44C6">
        <w:t>Anlagebedingungen</w:t>
      </w:r>
      <w:r w:rsidRPr="009F44C6">
        <w:t xml:space="preserve"> ein Rücknahmeabschlag vorgesehen ist, zahlt die </w:t>
      </w:r>
      <w:r w:rsidR="00E102B0" w:rsidRPr="009F44C6">
        <w:t xml:space="preserve">Verwahrstelle </w:t>
      </w:r>
      <w:r w:rsidRPr="009F44C6">
        <w:t xml:space="preserve">den Anteilwert abzüglich des Rücknahmeabschlages an den Anleger und den Rücknahmeabschlag an die Gesellschaft aus. Die Einzelheiten sind in den Besonderen </w:t>
      </w:r>
      <w:r w:rsidR="00915025" w:rsidRPr="009F44C6">
        <w:t>Anlagebedingungen</w:t>
      </w:r>
      <w:r w:rsidRPr="009F44C6">
        <w:t xml:space="preserve"> festgelegt. </w:t>
      </w:r>
    </w:p>
    <w:p w14:paraId="54EB5FE2" w14:textId="7A8341A2" w:rsidR="00BD4AA2" w:rsidRPr="009F44C6" w:rsidRDefault="002842C9" w:rsidP="00A1632E">
      <w:r w:rsidRPr="009F44C6">
        <w:t>4. Der Abrechnungsstichtag für Anteil</w:t>
      </w:r>
      <w:r w:rsidR="00CE4692">
        <w:t>erwerbs-</w:t>
      </w:r>
      <w:r w:rsidRPr="009F44C6">
        <w:t xml:space="preserve"> und Rücknahmeaufträge ist spä</w:t>
      </w:r>
      <w:r w:rsidRPr="009F44C6">
        <w:softHyphen/>
        <w:t>testens der auf den Eingang des Anteil</w:t>
      </w:r>
      <w:r w:rsidR="00CE4692">
        <w:t>erwerbs-</w:t>
      </w:r>
      <w:r w:rsidRPr="009F44C6">
        <w:t xml:space="preserve"> bzw. Rücknahmeauftrages fol</w:t>
      </w:r>
      <w:r w:rsidRPr="009F44C6">
        <w:softHyphen/>
        <w:t xml:space="preserve">gende Wertermittlungstag. </w:t>
      </w:r>
      <w:r w:rsidR="00031033" w:rsidRPr="009F44C6">
        <w:t xml:space="preserve">Soweit die </w:t>
      </w:r>
      <w:r w:rsidR="00D069AF">
        <w:t>Mindesthalte</w:t>
      </w:r>
      <w:r w:rsidR="00D069AF" w:rsidRPr="009F44C6">
        <w:t xml:space="preserve">frist </w:t>
      </w:r>
      <w:r w:rsidR="00330C66" w:rsidRPr="009F44C6">
        <w:t>und</w:t>
      </w:r>
      <w:r w:rsidR="00FB3043" w:rsidRPr="009F44C6">
        <w:t xml:space="preserve"> die </w:t>
      </w:r>
      <w:r w:rsidR="00384CAD">
        <w:t>Rückgabe</w:t>
      </w:r>
      <w:r w:rsidR="00384CAD" w:rsidRPr="009F44C6">
        <w:t xml:space="preserve">frist </w:t>
      </w:r>
      <w:r w:rsidR="00031033" w:rsidRPr="009F44C6">
        <w:t xml:space="preserve">gemäß </w:t>
      </w:r>
      <w:r w:rsidR="00031033" w:rsidRPr="009F44C6">
        <w:lastRenderedPageBreak/>
        <w:t>§</w:t>
      </w:r>
      <w:r w:rsidR="004964E6" w:rsidRPr="009F44C6">
        <w:t> </w:t>
      </w:r>
      <w:r w:rsidR="00031033" w:rsidRPr="009F44C6">
        <w:t>12 Abs</w:t>
      </w:r>
      <w:r w:rsidR="00FF425F" w:rsidRPr="009F44C6">
        <w:t xml:space="preserve">atz </w:t>
      </w:r>
      <w:r w:rsidR="00807987" w:rsidRPr="009F44C6">
        <w:t>5</w:t>
      </w:r>
      <w:r w:rsidR="00031033" w:rsidRPr="009F44C6">
        <w:t xml:space="preserve"> zur Anwendung komm</w:t>
      </w:r>
      <w:r w:rsidR="00330C66" w:rsidRPr="009F44C6">
        <w:t>en</w:t>
      </w:r>
      <w:r w:rsidR="00031033" w:rsidRPr="009F44C6">
        <w:t>, ist</w:t>
      </w:r>
      <w:r w:rsidR="008F7DB2" w:rsidRPr="009F44C6">
        <w:t xml:space="preserve"> der Abrechnungsstichtag </w:t>
      </w:r>
      <w:r w:rsidR="00D069AF">
        <w:t xml:space="preserve">für Rücknahmeaufträge </w:t>
      </w:r>
      <w:r w:rsidR="008F7DB2" w:rsidRPr="009F44C6">
        <w:t xml:space="preserve">der </w:t>
      </w:r>
      <w:r w:rsidR="00FB3043" w:rsidRPr="009F44C6">
        <w:t>auf den</w:t>
      </w:r>
      <w:r w:rsidR="008F7DB2" w:rsidRPr="009F44C6">
        <w:t xml:space="preserve"> Ablauf</w:t>
      </w:r>
      <w:r w:rsidR="00FB3043" w:rsidRPr="009F44C6">
        <w:t xml:space="preserve"> der</w:t>
      </w:r>
      <w:r w:rsidR="008F7DB2" w:rsidRPr="009F44C6">
        <w:t xml:space="preserve"> </w:t>
      </w:r>
      <w:r w:rsidR="00D069AF">
        <w:t>Mindesth</w:t>
      </w:r>
      <w:r w:rsidR="00D069AF" w:rsidRPr="009F44C6">
        <w:t xml:space="preserve">altefrist </w:t>
      </w:r>
      <w:r w:rsidR="00CC75E8" w:rsidRPr="009F44C6">
        <w:t>und</w:t>
      </w:r>
      <w:r w:rsidR="00FB3043" w:rsidRPr="009F44C6">
        <w:t xml:space="preserve"> der </w:t>
      </w:r>
      <w:r w:rsidR="005F5ED1">
        <w:t xml:space="preserve">Rückgabefrist </w:t>
      </w:r>
      <w:r w:rsidR="00FB3043" w:rsidRPr="009F44C6">
        <w:t>folgende Wertermittlungstag</w:t>
      </w:r>
      <w:r w:rsidR="008F7DB2" w:rsidRPr="009F44C6">
        <w:t xml:space="preserve">. </w:t>
      </w:r>
    </w:p>
    <w:p w14:paraId="64CA4B33" w14:textId="77777777" w:rsidR="00AD5E8E" w:rsidRPr="009F44C6" w:rsidRDefault="00AD5E8E" w:rsidP="00424A85">
      <w:pPr>
        <w:pBdr>
          <w:top w:val="single" w:sz="4" w:space="1" w:color="auto"/>
          <w:left w:val="single" w:sz="4" w:space="4" w:color="auto"/>
          <w:bottom w:val="single" w:sz="4" w:space="1" w:color="auto"/>
          <w:right w:val="single" w:sz="4" w:space="4" w:color="auto"/>
        </w:pBdr>
        <w:shd w:val="clear" w:color="auto" w:fill="D9D9D9"/>
      </w:pPr>
      <w:r w:rsidRPr="009F44C6">
        <w:t>Bearbeiterhinweis:</w:t>
      </w:r>
    </w:p>
    <w:p w14:paraId="3FB3C529" w14:textId="77777777" w:rsidR="00424A85" w:rsidRPr="009F44C6" w:rsidRDefault="00AD5E8E" w:rsidP="00424A85">
      <w:pPr>
        <w:pBdr>
          <w:top w:val="single" w:sz="4" w:space="1" w:color="auto"/>
          <w:left w:val="single" w:sz="4" w:space="4" w:color="auto"/>
          <w:bottom w:val="single" w:sz="4" w:space="1" w:color="auto"/>
          <w:right w:val="single" w:sz="4" w:space="4" w:color="auto"/>
        </w:pBdr>
        <w:shd w:val="clear" w:color="auto" w:fill="D9D9D9"/>
      </w:pPr>
      <w:r w:rsidRPr="009F44C6">
        <w:t>Soweit es sich um ein nach dem 2</w:t>
      </w:r>
      <w:r w:rsidR="000269A6" w:rsidRPr="009F44C6">
        <w:t>1</w:t>
      </w:r>
      <w:r w:rsidRPr="009F44C6">
        <w:t xml:space="preserve">. Juli 2013 aufgelegtes </w:t>
      </w:r>
      <w:r w:rsidR="00E741CE" w:rsidRPr="009F44C6">
        <w:t>Sondervermögen</w:t>
      </w:r>
      <w:r w:rsidRPr="009F44C6">
        <w:t xml:space="preserve"> handel</w:t>
      </w:r>
      <w:r w:rsidR="000C76EA" w:rsidRPr="009F44C6">
        <w:t>t</w:t>
      </w:r>
      <w:r w:rsidRPr="009F44C6">
        <w:t>, sollte Absatz 4 wie folgt formuliert werden:</w:t>
      </w:r>
    </w:p>
    <w:p w14:paraId="6E9F835E" w14:textId="5BE81B71" w:rsidR="00AD5E8E" w:rsidRPr="009F44C6" w:rsidRDefault="00AD5E8E" w:rsidP="00424A85">
      <w:pPr>
        <w:pBdr>
          <w:top w:val="single" w:sz="4" w:space="1" w:color="auto"/>
          <w:left w:val="single" w:sz="4" w:space="4" w:color="auto"/>
          <w:bottom w:val="single" w:sz="4" w:space="1" w:color="auto"/>
          <w:right w:val="single" w:sz="4" w:space="4" w:color="auto"/>
        </w:pBdr>
        <w:shd w:val="clear" w:color="auto" w:fill="D9D9D9"/>
      </w:pPr>
      <w:r w:rsidRPr="009F44C6">
        <w:t xml:space="preserve">„Abrechnungsstichtag </w:t>
      </w:r>
      <w:r w:rsidR="00F8741F" w:rsidRPr="009F44C6">
        <w:t>für Anteil</w:t>
      </w:r>
      <w:r w:rsidR="00CE4692">
        <w:t>erwerbsaufträge</w:t>
      </w:r>
      <w:r w:rsidR="000C76EA" w:rsidRPr="009F44C6">
        <w:t xml:space="preserve"> </w:t>
      </w:r>
      <w:r w:rsidRPr="009F44C6">
        <w:t xml:space="preserve">ist spätestens der auf </w:t>
      </w:r>
      <w:r w:rsidR="00287EFB" w:rsidRPr="009F44C6">
        <w:t xml:space="preserve">den </w:t>
      </w:r>
      <w:r w:rsidR="000269A6" w:rsidRPr="009F44C6">
        <w:t>Eingang des Anteil</w:t>
      </w:r>
      <w:r w:rsidR="00CE4692">
        <w:t>erwerbsauftrags</w:t>
      </w:r>
      <w:r w:rsidR="000269A6" w:rsidRPr="009F44C6">
        <w:t xml:space="preserve"> folgende Wertermittlungstag. Abrechnungsstichtag für Rücknahmeaufträge ist der auf </w:t>
      </w:r>
      <w:r w:rsidRPr="009F44C6">
        <w:t xml:space="preserve">den Ablauf der </w:t>
      </w:r>
      <w:r w:rsidR="00102215">
        <w:t>Mindesth</w:t>
      </w:r>
      <w:r w:rsidR="00102215" w:rsidRPr="009F44C6">
        <w:t xml:space="preserve">altefrist </w:t>
      </w:r>
      <w:r w:rsidRPr="009F44C6">
        <w:t xml:space="preserve">und der </w:t>
      </w:r>
      <w:r w:rsidR="005F5ED1">
        <w:t>Rückgabefrist</w:t>
      </w:r>
      <w:r w:rsidR="005F5ED1" w:rsidRPr="009F44C6">
        <w:t xml:space="preserve"> </w:t>
      </w:r>
      <w:r w:rsidRPr="009F44C6">
        <w:t>folgende Wertermittlungstag.</w:t>
      </w:r>
      <w:r w:rsidR="0035062E" w:rsidRPr="009F44C6">
        <w:t>“</w:t>
      </w:r>
      <w:r w:rsidRPr="009F44C6">
        <w:t xml:space="preserve"> </w:t>
      </w:r>
    </w:p>
    <w:p w14:paraId="787FA64E" w14:textId="512D3131" w:rsidR="00A1632E" w:rsidRDefault="00A1632E" w:rsidP="003E7AFB">
      <w:r w:rsidRPr="00AF0094">
        <w:t>5.</w:t>
      </w:r>
      <w:r w:rsidRPr="009F44C6">
        <w:t xml:space="preserve"> </w:t>
      </w:r>
    </w:p>
    <w:p w14:paraId="7BEED15A" w14:textId="77777777" w:rsidR="00B2335C" w:rsidRPr="00B2335C" w:rsidRDefault="00B2335C" w:rsidP="007F37FE">
      <w:pPr>
        <w:pBdr>
          <w:top w:val="single" w:sz="4" w:space="1" w:color="auto"/>
          <w:left w:val="single" w:sz="4" w:space="4" w:color="auto"/>
          <w:bottom w:val="single" w:sz="4" w:space="1" w:color="auto"/>
          <w:right w:val="single" w:sz="4" w:space="4" w:color="auto"/>
        </w:pBdr>
        <w:shd w:val="pct10" w:color="auto" w:fill="auto"/>
        <w:ind w:right="18"/>
      </w:pPr>
      <w:r w:rsidRPr="00B2335C">
        <w:rPr>
          <w:u w:val="single"/>
        </w:rPr>
        <w:t>Bearbeiterhinweis</w:t>
      </w:r>
      <w:r w:rsidRPr="00B2335C">
        <w:t>:</w:t>
      </w:r>
    </w:p>
    <w:p w14:paraId="13E25B97" w14:textId="7CB40F53" w:rsidR="00B2335C" w:rsidRPr="00B2335C" w:rsidRDefault="00B2335C" w:rsidP="007F37FE">
      <w:pPr>
        <w:pBdr>
          <w:top w:val="single" w:sz="4" w:space="1" w:color="auto"/>
          <w:left w:val="single" w:sz="4" w:space="4" w:color="auto"/>
          <w:bottom w:val="single" w:sz="4" w:space="1" w:color="auto"/>
          <w:right w:val="single" w:sz="4" w:space="4" w:color="auto"/>
        </w:pBdr>
        <w:shd w:val="pct10" w:color="auto" w:fill="auto"/>
        <w:ind w:right="18"/>
      </w:pPr>
      <w:r w:rsidRPr="00B2335C">
        <w:t xml:space="preserve">Es ist darzustellen, wie häufig </w:t>
      </w:r>
      <w:r w:rsidR="00102215">
        <w:t xml:space="preserve">der Nettoinventarwert, der Anteilwert sowie </w:t>
      </w:r>
      <w:r w:rsidRPr="00B2335C">
        <w:t>die Ausgabe- und Rücknahmepreise ermittelt werden und ggfs. wann eine Ermittlung unterbleibt. Beispielsweise könnte wie folgt formuliert werden</w:t>
      </w:r>
      <w:r w:rsidR="005D4BFD">
        <w:t xml:space="preserve">, </w:t>
      </w:r>
      <w:r w:rsidR="005D4BFD" w:rsidRPr="00C417DC">
        <w:t>wobei die die nachfolgend genannten Feiertage an den Sitz der jeweiligen Gesellschaft anzupassen wären</w:t>
      </w:r>
      <w:r w:rsidRPr="00D91365">
        <w:t>:</w:t>
      </w:r>
    </w:p>
    <w:p w14:paraId="36F72684" w14:textId="4A0E2A8C" w:rsidR="00B2335C" w:rsidRPr="00B2335C" w:rsidRDefault="00B2335C" w:rsidP="007F37FE">
      <w:pPr>
        <w:pBdr>
          <w:top w:val="single" w:sz="4" w:space="1" w:color="auto"/>
          <w:left w:val="single" w:sz="4" w:space="4" w:color="auto"/>
          <w:bottom w:val="single" w:sz="4" w:space="1" w:color="auto"/>
          <w:right w:val="single" w:sz="4" w:space="4" w:color="auto"/>
        </w:pBdr>
        <w:shd w:val="pct10" w:color="auto" w:fill="auto"/>
        <w:ind w:right="18"/>
        <w:rPr>
          <w:b/>
        </w:rPr>
      </w:pPr>
      <w:r w:rsidRPr="00B2335C">
        <w:rPr>
          <w:b/>
        </w:rPr>
        <w:t>„</w:t>
      </w:r>
      <w:r w:rsidR="00102215">
        <w:rPr>
          <w:b/>
        </w:rPr>
        <w:t>5</w:t>
      </w:r>
      <w:r w:rsidRPr="00B2335C">
        <w:rPr>
          <w:b/>
        </w:rPr>
        <w:t xml:space="preserve">. </w:t>
      </w:r>
      <w:r w:rsidR="00102215" w:rsidRPr="00102215">
        <w:rPr>
          <w:b/>
        </w:rPr>
        <w:t>Der Nettoinventarwert, der Anteilwert sowie die Ausgabe</w:t>
      </w:r>
      <w:r w:rsidR="00102215">
        <w:rPr>
          <w:b/>
        </w:rPr>
        <w:t xml:space="preserve"> </w:t>
      </w:r>
      <w:r w:rsidR="00102215" w:rsidRPr="00102215">
        <w:rPr>
          <w:b/>
        </w:rPr>
        <w:t>und</w:t>
      </w:r>
      <w:r w:rsidR="00102215">
        <w:rPr>
          <w:b/>
        </w:rPr>
        <w:t xml:space="preserve"> </w:t>
      </w:r>
      <w:r w:rsidR="00102215" w:rsidRPr="00102215">
        <w:rPr>
          <w:b/>
        </w:rPr>
        <w:t>Rücknahmepreise werden an jedem Wertermittlungstag</w:t>
      </w:r>
      <w:r w:rsidR="00102215">
        <w:rPr>
          <w:b/>
        </w:rPr>
        <w:t xml:space="preserve"> </w:t>
      </w:r>
      <w:r w:rsidR="00102215" w:rsidRPr="00102215">
        <w:rPr>
          <w:b/>
        </w:rPr>
        <w:t>ermittelt. Wertermittlungstage sind, mit Ausnahme</w:t>
      </w:r>
      <w:r w:rsidR="00102215">
        <w:rPr>
          <w:b/>
        </w:rPr>
        <w:t xml:space="preserve"> </w:t>
      </w:r>
      <w:r w:rsidR="00102215" w:rsidRPr="00102215">
        <w:rPr>
          <w:b/>
        </w:rPr>
        <w:t>der gesetzlichen Feiertage am Sitz der Gesellschaft und</w:t>
      </w:r>
      <w:r w:rsidR="00102215">
        <w:rPr>
          <w:b/>
        </w:rPr>
        <w:t xml:space="preserve"> </w:t>
      </w:r>
      <w:r w:rsidR="00102215" w:rsidRPr="00102215">
        <w:rPr>
          <w:b/>
        </w:rPr>
        <w:t>des 24. und 31. Dezember eines jeden Jahres, die Wochentage</w:t>
      </w:r>
      <w:r w:rsidR="00102215">
        <w:rPr>
          <w:b/>
        </w:rPr>
        <w:t xml:space="preserve"> </w:t>
      </w:r>
      <w:r w:rsidR="00102215" w:rsidRPr="00102215">
        <w:rPr>
          <w:b/>
        </w:rPr>
        <w:t>Montag bis Freitag („Wertermittlungstage“, jeder einzelne</w:t>
      </w:r>
      <w:r w:rsidR="00102215">
        <w:rPr>
          <w:b/>
        </w:rPr>
        <w:t xml:space="preserve"> </w:t>
      </w:r>
      <w:r w:rsidR="00102215" w:rsidRPr="00102215">
        <w:rPr>
          <w:b/>
        </w:rPr>
        <w:t>ein „Wertermittlungstag“). Gesetzliche Feiertage am</w:t>
      </w:r>
      <w:r w:rsidR="00102215">
        <w:rPr>
          <w:b/>
        </w:rPr>
        <w:t xml:space="preserve"> </w:t>
      </w:r>
      <w:r w:rsidR="00102215" w:rsidRPr="00102215">
        <w:rPr>
          <w:b/>
        </w:rPr>
        <w:t>Sitz der Gesellschaft sind: Neujahr (1. Januar), Karfreitag,</w:t>
      </w:r>
      <w:r w:rsidR="00102215">
        <w:rPr>
          <w:b/>
        </w:rPr>
        <w:t xml:space="preserve"> </w:t>
      </w:r>
      <w:r w:rsidR="00102215" w:rsidRPr="00102215">
        <w:rPr>
          <w:b/>
        </w:rPr>
        <w:t>Ostermontag, Maifeiertag (1. Mai), Christi Himmelfahrt,</w:t>
      </w:r>
      <w:r w:rsidR="00102215">
        <w:rPr>
          <w:b/>
        </w:rPr>
        <w:t xml:space="preserve"> </w:t>
      </w:r>
      <w:r w:rsidR="00102215" w:rsidRPr="00102215">
        <w:rPr>
          <w:b/>
        </w:rPr>
        <w:lastRenderedPageBreak/>
        <w:t>Pfingstmontag, Fronleichnam, Tag der Deutschen Einheit</w:t>
      </w:r>
      <w:r w:rsidR="00102215">
        <w:rPr>
          <w:b/>
        </w:rPr>
        <w:t xml:space="preserve"> </w:t>
      </w:r>
      <w:r w:rsidR="00102215" w:rsidRPr="00102215">
        <w:rPr>
          <w:b/>
        </w:rPr>
        <w:t>(3. Oktober), 1. und 2. Weihnachtsfeiertag.</w:t>
      </w:r>
      <w:r w:rsidR="00102215">
        <w:rPr>
          <w:b/>
        </w:rPr>
        <w:t xml:space="preserve"> </w:t>
      </w:r>
    </w:p>
    <w:p w14:paraId="541BF399" w14:textId="414B7A15" w:rsidR="002842C9" w:rsidRPr="009F44C6" w:rsidRDefault="002842C9">
      <w:pPr>
        <w:jc w:val="center"/>
        <w:rPr>
          <w:b/>
        </w:rPr>
      </w:pPr>
      <w:r w:rsidRPr="009F44C6">
        <w:rPr>
          <w:b/>
        </w:rPr>
        <w:t>§ 14 Kosten</w:t>
      </w:r>
    </w:p>
    <w:p w14:paraId="4F5D18C3" w14:textId="1D400EF3" w:rsidR="00AD7A99" w:rsidRDefault="002842C9" w:rsidP="003E7AFB">
      <w:r w:rsidRPr="009F44C6">
        <w:t xml:space="preserve">In den Besonderen </w:t>
      </w:r>
      <w:r w:rsidR="00170E20" w:rsidRPr="009F44C6">
        <w:t>Anlagebedingungen</w:t>
      </w:r>
      <w:r w:rsidRPr="009F44C6">
        <w:t xml:space="preserve"> werden </w:t>
      </w:r>
      <w:r w:rsidRPr="00614429">
        <w:t xml:space="preserve">die Aufwendungen und die der Gesellschaft, der </w:t>
      </w:r>
      <w:r w:rsidR="00170E20" w:rsidRPr="00614429">
        <w:t xml:space="preserve">Verwahrstelle </w:t>
      </w:r>
      <w:r w:rsidRPr="00614429">
        <w:t xml:space="preserve">und Dritten zustehenden Vergütungen, die dem </w:t>
      </w:r>
      <w:r w:rsidR="00E741CE" w:rsidRPr="00614429">
        <w:t>Sondervermögen</w:t>
      </w:r>
      <w:r w:rsidRPr="00614429">
        <w:t xml:space="preserve"> belastet werden können, genannt.</w:t>
      </w:r>
      <w:r w:rsidRPr="009F44C6">
        <w:t xml:space="preserve"> Für Vergütungen im Sinne von Satz 1 ist in den Besonderen </w:t>
      </w:r>
      <w:r w:rsidR="00170E20" w:rsidRPr="009F44C6">
        <w:t>Anlagebedingungen</w:t>
      </w:r>
      <w:r w:rsidRPr="009F44C6">
        <w:t xml:space="preserve"> darüber hinaus anzugeben, nach welcher Methode, in welcher Höhe und auf Grund welcher Berechnung sie zu leisten sind.</w:t>
      </w:r>
    </w:p>
    <w:p w14:paraId="12EDBD81" w14:textId="77777777" w:rsidR="00B2335C" w:rsidRPr="00B2335C" w:rsidRDefault="00B2335C" w:rsidP="00B2335C">
      <w:pPr>
        <w:pBdr>
          <w:top w:val="single" w:sz="4" w:space="1" w:color="auto"/>
          <w:left w:val="single" w:sz="4" w:space="4" w:color="auto"/>
          <w:bottom w:val="single" w:sz="4" w:space="1" w:color="auto"/>
          <w:right w:val="single" w:sz="4" w:space="4" w:color="auto"/>
        </w:pBdr>
        <w:shd w:val="pct10" w:color="auto" w:fill="auto"/>
        <w:ind w:left="284" w:right="567"/>
      </w:pPr>
      <w:r w:rsidRPr="00B2335C">
        <w:rPr>
          <w:u w:val="single"/>
        </w:rPr>
        <w:t>Bearbeiterhinweis</w:t>
      </w:r>
      <w:r w:rsidRPr="00B2335C">
        <w:t>:</w:t>
      </w:r>
    </w:p>
    <w:p w14:paraId="7AA883DF" w14:textId="5A636809" w:rsidR="00614429" w:rsidRPr="00CD7DD9" w:rsidRDefault="00614429" w:rsidP="00B2335C">
      <w:pPr>
        <w:pBdr>
          <w:top w:val="single" w:sz="4" w:space="1" w:color="auto"/>
          <w:left w:val="single" w:sz="4" w:space="4" w:color="auto"/>
          <w:bottom w:val="single" w:sz="4" w:space="1" w:color="auto"/>
          <w:right w:val="single" w:sz="4" w:space="4" w:color="auto"/>
        </w:pBdr>
        <w:shd w:val="pct10" w:color="auto" w:fill="auto"/>
        <w:ind w:left="284" w:right="567"/>
      </w:pPr>
      <w:r w:rsidRPr="00CD7DD9">
        <w:t>Anstelle des Begriffs „Kosten“ kann die Überschrift auch</w:t>
      </w:r>
    </w:p>
    <w:p w14:paraId="517D12B4" w14:textId="77777777" w:rsidR="00614429" w:rsidRPr="00CD7DD9" w:rsidRDefault="00614429" w:rsidP="00B2335C">
      <w:pPr>
        <w:pBdr>
          <w:top w:val="single" w:sz="4" w:space="1" w:color="auto"/>
          <w:left w:val="single" w:sz="4" w:space="4" w:color="auto"/>
          <w:bottom w:val="single" w:sz="4" w:space="1" w:color="auto"/>
          <w:right w:val="single" w:sz="4" w:space="4" w:color="auto"/>
        </w:pBdr>
        <w:shd w:val="pct10" w:color="auto" w:fill="auto"/>
        <w:ind w:left="284" w:right="567"/>
      </w:pPr>
      <w:r w:rsidRPr="00CD7DD9">
        <w:t>„Aufwendungen und Vergütungen“</w:t>
      </w:r>
    </w:p>
    <w:p w14:paraId="7BA810FF" w14:textId="4A110982" w:rsidR="00614429" w:rsidRDefault="00614429" w:rsidP="00B2335C">
      <w:pPr>
        <w:pBdr>
          <w:top w:val="single" w:sz="4" w:space="1" w:color="auto"/>
          <w:left w:val="single" w:sz="4" w:space="4" w:color="auto"/>
          <w:bottom w:val="single" w:sz="4" w:space="1" w:color="auto"/>
          <w:right w:val="single" w:sz="4" w:space="4" w:color="auto"/>
        </w:pBdr>
        <w:shd w:val="pct10" w:color="auto" w:fill="auto"/>
        <w:ind w:left="284" w:right="567"/>
      </w:pPr>
      <w:r w:rsidRPr="00CD7DD9">
        <w:t>lauten.</w:t>
      </w:r>
    </w:p>
    <w:p w14:paraId="458BC319" w14:textId="67603767" w:rsidR="00B2335C" w:rsidRPr="00B2335C" w:rsidRDefault="00B2335C" w:rsidP="00B2335C">
      <w:pPr>
        <w:pBdr>
          <w:top w:val="single" w:sz="4" w:space="1" w:color="auto"/>
          <w:left w:val="single" w:sz="4" w:space="4" w:color="auto"/>
          <w:bottom w:val="single" w:sz="4" w:space="1" w:color="auto"/>
          <w:right w:val="single" w:sz="4" w:space="4" w:color="auto"/>
        </w:pBdr>
        <w:shd w:val="pct10" w:color="auto" w:fill="auto"/>
        <w:ind w:left="284" w:right="567"/>
      </w:pPr>
      <w:r w:rsidRPr="00B2335C">
        <w:t xml:space="preserve">An dieser Stelle oder in den </w:t>
      </w:r>
      <w:proofErr w:type="spellStart"/>
      <w:r w:rsidRPr="00B2335C">
        <w:t>BABen</w:t>
      </w:r>
      <w:proofErr w:type="spellEnd"/>
      <w:r w:rsidRPr="00B2335C">
        <w:t xml:space="preserve"> könnte ergänzend erläutert werden, ob eine Abgrenzung der Vergütungen erfolgt, so dass bis zu deren Entnahme eine Verbindlichkeit beim Sondervermögen entsteht und der tatsächliche Entnahmezeitpunkt daher keinen Einfluss auf den Nettoinventarwert hat. </w:t>
      </w:r>
    </w:p>
    <w:p w14:paraId="5BABD861" w14:textId="70EAE8D1" w:rsidR="00C417DC" w:rsidRDefault="00C417DC" w:rsidP="003E7AFB">
      <w:r>
        <w:br w:type="page"/>
      </w:r>
    </w:p>
    <w:p w14:paraId="418BC50F" w14:textId="77777777" w:rsidR="002842C9" w:rsidRPr="009F44C6" w:rsidRDefault="002842C9">
      <w:pPr>
        <w:jc w:val="center"/>
        <w:rPr>
          <w:b/>
        </w:rPr>
      </w:pPr>
      <w:r w:rsidRPr="009F44C6">
        <w:rPr>
          <w:b/>
        </w:rPr>
        <w:lastRenderedPageBreak/>
        <w:t>§ 15 Rechnungslegung</w:t>
      </w:r>
    </w:p>
    <w:p w14:paraId="2A13B095" w14:textId="77777777" w:rsidR="002842C9" w:rsidRPr="009F44C6" w:rsidRDefault="002842C9">
      <w:r w:rsidRPr="009F44C6">
        <w:t xml:space="preserve">1. </w:t>
      </w:r>
      <w:proofErr w:type="gramStart"/>
      <w:r w:rsidRPr="009F44C6">
        <w:t>Spätestens</w:t>
      </w:r>
      <w:proofErr w:type="gramEnd"/>
      <w:r w:rsidRPr="009F44C6">
        <w:t xml:space="preserve"> </w:t>
      </w:r>
      <w:r w:rsidR="000C76EA" w:rsidRPr="009F44C6">
        <w:t xml:space="preserve">sechs </w:t>
      </w:r>
      <w:r w:rsidRPr="009F44C6">
        <w:t xml:space="preserve">Monate nach Ablauf des Geschäftsjahres des </w:t>
      </w:r>
      <w:r w:rsidR="00E741CE" w:rsidRPr="009F44C6">
        <w:t>Sondervermögen</w:t>
      </w:r>
      <w:r w:rsidRPr="009F44C6">
        <w:t>s</w:t>
      </w:r>
      <w:r w:rsidR="00176A62" w:rsidRPr="009F44C6">
        <w:t xml:space="preserve"> </w:t>
      </w:r>
      <w:r w:rsidRPr="009F44C6">
        <w:t xml:space="preserve">macht die Gesellschaft einen Jahresbericht einschließlich Ertrags- und Aufwandsrechnung gemäß </w:t>
      </w:r>
      <w:r w:rsidR="00170E20" w:rsidRPr="009F44C6">
        <w:t>§§ 101, 247 KAGB</w:t>
      </w:r>
      <w:r w:rsidRPr="009F44C6">
        <w:t xml:space="preserve"> bekannt.</w:t>
      </w:r>
    </w:p>
    <w:p w14:paraId="506A1FB1" w14:textId="77777777" w:rsidR="002842C9" w:rsidRPr="009F44C6" w:rsidRDefault="002842C9">
      <w:r w:rsidRPr="009F44C6">
        <w:t xml:space="preserve">2. </w:t>
      </w:r>
      <w:proofErr w:type="gramStart"/>
      <w:r w:rsidRPr="009F44C6">
        <w:t>Spätestens</w:t>
      </w:r>
      <w:proofErr w:type="gramEnd"/>
      <w:r w:rsidRPr="009F44C6">
        <w:t xml:space="preserve"> zwei Monate nach der Mitte des Geschäftsjahres macht die Gesellschaft einen Halbjahresbericht gemäß </w:t>
      </w:r>
      <w:r w:rsidR="00170E20" w:rsidRPr="009F44C6">
        <w:t>§ 103</w:t>
      </w:r>
      <w:r w:rsidRPr="009F44C6">
        <w:t xml:space="preserve"> </w:t>
      </w:r>
      <w:r w:rsidR="00170E20" w:rsidRPr="009F44C6">
        <w:t xml:space="preserve">KAGB </w:t>
      </w:r>
      <w:r w:rsidRPr="009F44C6">
        <w:t>bekannt.</w:t>
      </w:r>
    </w:p>
    <w:p w14:paraId="124EA1CB" w14:textId="77777777" w:rsidR="002842C9" w:rsidRPr="009F44C6" w:rsidRDefault="002842C9">
      <w:r w:rsidRPr="009F44C6">
        <w:t>3. Wird das Recht</w:t>
      </w:r>
      <w:r w:rsidR="00193059" w:rsidRPr="009F44C6">
        <w:t xml:space="preserve"> zur Verwaltung des </w:t>
      </w:r>
      <w:r w:rsidR="00E741CE" w:rsidRPr="009F44C6">
        <w:t>Sondervermögen</w:t>
      </w:r>
      <w:r w:rsidR="00193059" w:rsidRPr="009F44C6">
        <w:t>s</w:t>
      </w:r>
      <w:r w:rsidRPr="009F44C6">
        <w:t xml:space="preserve"> während des Geschäftsjahres auf eine andere </w:t>
      </w:r>
      <w:r w:rsidR="00170E20" w:rsidRPr="009F44C6">
        <w:t xml:space="preserve">Kapitalverwaltungsgesellschaft </w:t>
      </w:r>
      <w:r w:rsidRPr="009F44C6">
        <w:t>übertragen</w:t>
      </w:r>
      <w:r w:rsidR="00193059" w:rsidRPr="009F44C6">
        <w:t xml:space="preserve"> oder das </w:t>
      </w:r>
      <w:r w:rsidR="00E741CE" w:rsidRPr="009F44C6">
        <w:t>Sondervermögen</w:t>
      </w:r>
      <w:r w:rsidR="00193059" w:rsidRPr="009F44C6">
        <w:t xml:space="preserve"> während des Geschäftsjahres auf ein </w:t>
      </w:r>
      <w:r w:rsidR="00D678C5" w:rsidRPr="009F44C6">
        <w:t xml:space="preserve">anderes </w:t>
      </w:r>
      <w:r w:rsidR="00B4257F" w:rsidRPr="009F44C6">
        <w:t>inländisches Immobilien</w:t>
      </w:r>
      <w:r w:rsidR="00B469DA" w:rsidRPr="009F44C6">
        <w:t>-</w:t>
      </w:r>
      <w:r w:rsidR="00E741CE" w:rsidRPr="009F44C6">
        <w:t>Sondervermögen</w:t>
      </w:r>
      <w:r w:rsidR="00D678C5" w:rsidRPr="009F44C6">
        <w:t xml:space="preserve"> verschmolzen,</w:t>
      </w:r>
      <w:r w:rsidRPr="009F44C6">
        <w:t xml:space="preserve"> so hat die Gesellschaft auf den Übertragungsstichtag einen Zwischenbericht zu erstellen, der den Anforderungen an einen Jahresbericht gemäß </w:t>
      </w:r>
      <w:r w:rsidR="00170E20" w:rsidRPr="009F44C6">
        <w:t>Abs</w:t>
      </w:r>
      <w:r w:rsidR="000C76EA" w:rsidRPr="009F44C6">
        <w:t>atz</w:t>
      </w:r>
      <w:r w:rsidR="00170E20" w:rsidRPr="009F44C6">
        <w:t xml:space="preserve"> 1</w:t>
      </w:r>
      <w:r w:rsidRPr="009F44C6">
        <w:t xml:space="preserve"> entspricht.</w:t>
      </w:r>
    </w:p>
    <w:p w14:paraId="6DA1B013" w14:textId="77777777" w:rsidR="00D678C5" w:rsidRPr="009F44C6" w:rsidRDefault="002842C9">
      <w:r w:rsidRPr="009F44C6">
        <w:t xml:space="preserve">4. </w:t>
      </w:r>
      <w:r w:rsidR="00D678C5" w:rsidRPr="009F44C6">
        <w:t xml:space="preserve">Wird </w:t>
      </w:r>
      <w:r w:rsidR="00E102B0" w:rsidRPr="009F44C6">
        <w:t xml:space="preserve">das </w:t>
      </w:r>
      <w:r w:rsidR="00E741CE" w:rsidRPr="009F44C6">
        <w:t>Sondervermögen</w:t>
      </w:r>
      <w:r w:rsidR="00D678C5" w:rsidRPr="009F44C6">
        <w:t xml:space="preserve"> abgewickelt, hat die </w:t>
      </w:r>
      <w:r w:rsidR="00170E20" w:rsidRPr="009F44C6">
        <w:t xml:space="preserve">Verwahrstelle </w:t>
      </w:r>
      <w:r w:rsidR="00D678C5" w:rsidRPr="009F44C6">
        <w:t xml:space="preserve">jährlich sowie auf den Tag, an dem die Abwicklung beendet ist, einen Abwicklungsbericht zu erstellen, der den Anforderungen an einen Jahresbericht gemäß </w:t>
      </w:r>
      <w:r w:rsidR="00170E20" w:rsidRPr="009F44C6">
        <w:t>Abs</w:t>
      </w:r>
      <w:r w:rsidR="000C76EA" w:rsidRPr="009F44C6">
        <w:t>atz</w:t>
      </w:r>
      <w:r w:rsidR="00170E20" w:rsidRPr="009F44C6">
        <w:t xml:space="preserve"> 1</w:t>
      </w:r>
      <w:r w:rsidR="00D678C5" w:rsidRPr="009F44C6">
        <w:t xml:space="preserve"> entspricht.</w:t>
      </w:r>
    </w:p>
    <w:p w14:paraId="505A2BB2" w14:textId="64807205" w:rsidR="0076430B" w:rsidRDefault="00D678C5" w:rsidP="00F81D58">
      <w:pPr>
        <w:spacing w:after="480"/>
      </w:pPr>
      <w:r w:rsidRPr="009F44C6">
        <w:t xml:space="preserve">5. </w:t>
      </w:r>
      <w:r w:rsidR="002842C9" w:rsidRPr="009F44C6">
        <w:t xml:space="preserve">Die Berichte sind bei der Gesellschaft und der </w:t>
      </w:r>
      <w:r w:rsidR="00170E20" w:rsidRPr="009F44C6">
        <w:t xml:space="preserve">Verwahrstelle </w:t>
      </w:r>
      <w:r w:rsidR="002842C9" w:rsidRPr="009F44C6">
        <w:t xml:space="preserve">und weiteren Stellen, die im Verkaufsprospekt </w:t>
      </w:r>
      <w:r w:rsidRPr="009F44C6">
        <w:t>und i</w:t>
      </w:r>
      <w:r w:rsidR="006C033C">
        <w:t>m</w:t>
      </w:r>
      <w:r w:rsidRPr="009F44C6">
        <w:t xml:space="preserve"> </w:t>
      </w:r>
      <w:r w:rsidR="00DE5781" w:rsidRPr="00DE5781">
        <w:t>Basisinformationsblatt</w:t>
      </w:r>
      <w:r w:rsidRPr="009F44C6">
        <w:t xml:space="preserve"> </w:t>
      </w:r>
      <w:r w:rsidR="002842C9" w:rsidRPr="009F44C6">
        <w:t>anzugeben sind, erhältlich; sie werden ferner im Bundesanzeiger bekannt gemacht</w:t>
      </w:r>
      <w:r w:rsidR="00FD06F8" w:rsidRPr="009F44C6">
        <w:t xml:space="preserve">. </w:t>
      </w:r>
    </w:p>
    <w:p w14:paraId="155EB665" w14:textId="77777777" w:rsidR="002842C9" w:rsidRPr="009F44C6" w:rsidRDefault="002842C9" w:rsidP="0014148F">
      <w:pPr>
        <w:spacing w:after="480"/>
        <w:jc w:val="center"/>
        <w:rPr>
          <w:b/>
        </w:rPr>
      </w:pPr>
      <w:r w:rsidRPr="009F44C6">
        <w:rPr>
          <w:b/>
        </w:rPr>
        <w:t xml:space="preserve">§ 16 Kündigung und Abwicklung des </w:t>
      </w:r>
      <w:r w:rsidR="00E741CE" w:rsidRPr="009F44C6">
        <w:rPr>
          <w:b/>
        </w:rPr>
        <w:t>Sondervermögen</w:t>
      </w:r>
      <w:r w:rsidRPr="009F44C6">
        <w:rPr>
          <w:b/>
        </w:rPr>
        <w:t>s</w:t>
      </w:r>
    </w:p>
    <w:p w14:paraId="6D8802C7" w14:textId="77777777" w:rsidR="002842C9" w:rsidRPr="009F44C6" w:rsidRDefault="002842C9">
      <w:r w:rsidRPr="009F44C6">
        <w:t xml:space="preserve">1. Die Gesellschaft kann die Verwaltung des </w:t>
      </w:r>
      <w:r w:rsidR="00E741CE" w:rsidRPr="009F44C6">
        <w:t>Sondervermögen</w:t>
      </w:r>
      <w:r w:rsidRPr="009F44C6">
        <w:t xml:space="preserve">s mit einer Frist von mindestens </w:t>
      </w:r>
      <w:r w:rsidR="00B21D3E" w:rsidRPr="009F44C6">
        <w:t>sechs</w:t>
      </w:r>
      <w:r w:rsidRPr="009F44C6">
        <w:t xml:space="preserve"> Monaten durch Bekanntmachung im Bundesanzeiger und darüber hinaus im Jahresbericht oder Halbjahresbericht kündigen.</w:t>
      </w:r>
      <w:r w:rsidR="007210B5" w:rsidRPr="009F44C6">
        <w:t xml:space="preserve"> </w:t>
      </w:r>
      <w:r w:rsidR="00EC3B33" w:rsidRPr="009F44C6">
        <w:t>Die Anleger sind über eine nach Satz 1 bekannt</w:t>
      </w:r>
      <w:r w:rsidR="00F50EDF" w:rsidRPr="009F44C6">
        <w:t xml:space="preserve"> </w:t>
      </w:r>
      <w:r w:rsidR="00EC3B33" w:rsidRPr="009F44C6">
        <w:t xml:space="preserve">gemachte Kündigung mittels eines dauerhaften Datenträgers unverzüglich zu unterrichten. </w:t>
      </w:r>
      <w:r w:rsidR="007210B5" w:rsidRPr="009F44C6">
        <w:t xml:space="preserve">Nach Erklärung der Kündigung und bis zu ihrem Wirksamwerden dürfen keine Anteile mehr ausgegeben oder </w:t>
      </w:r>
      <w:r w:rsidR="007210B5" w:rsidRPr="009F44C6">
        <w:lastRenderedPageBreak/>
        <w:t xml:space="preserve">zurückgenommen werden. Die Gesellschaft ist nach Erklärung der Kündigung und bis zu ihrem Wirksamwerden berechtigt und verpflichtet, </w:t>
      </w:r>
      <w:r w:rsidR="002634A9" w:rsidRPr="009F44C6">
        <w:t xml:space="preserve">sämtliche </w:t>
      </w:r>
      <w:r w:rsidR="007210B5" w:rsidRPr="009F44C6">
        <w:t xml:space="preserve">Immobilien des </w:t>
      </w:r>
      <w:r w:rsidR="00E741CE" w:rsidRPr="009F44C6">
        <w:t>Sondervermögen</w:t>
      </w:r>
      <w:r w:rsidR="007210B5" w:rsidRPr="009F44C6">
        <w:t xml:space="preserve">s </w:t>
      </w:r>
      <w:r w:rsidR="00763432" w:rsidRPr="009F44C6">
        <w:t xml:space="preserve">in Abstimmung mit der </w:t>
      </w:r>
      <w:r w:rsidR="00170E20" w:rsidRPr="009F44C6">
        <w:t xml:space="preserve">Verwahrstelle </w:t>
      </w:r>
      <w:r w:rsidR="007210B5" w:rsidRPr="009F44C6">
        <w:t xml:space="preserve">zu angemessenen Bedingungen </w:t>
      </w:r>
      <w:r w:rsidR="00763432" w:rsidRPr="009F44C6">
        <w:t xml:space="preserve">oder mit Einwilligung der Anleger gemäß § 12 Absatz </w:t>
      </w:r>
      <w:r w:rsidR="00170E20" w:rsidRPr="009F44C6">
        <w:t xml:space="preserve">10 </w:t>
      </w:r>
      <w:r w:rsidR="007210B5" w:rsidRPr="009F44C6">
        <w:t>zu veräußern.</w:t>
      </w:r>
      <w:r w:rsidR="007E5D27" w:rsidRPr="009F44C6">
        <w:t xml:space="preserve"> Sofern die </w:t>
      </w:r>
      <w:r w:rsidR="0064323E" w:rsidRPr="009F44C6">
        <w:t>Veräußerungse</w:t>
      </w:r>
      <w:r w:rsidR="007E5D27" w:rsidRPr="009F44C6">
        <w:t xml:space="preserve">rlöse nicht zur Sicherstellung einer ordnungsgemäßen laufenden Bewirtschaftung </w:t>
      </w:r>
      <w:r w:rsidR="003C34DA" w:rsidRPr="009F44C6">
        <w:t xml:space="preserve">benötigt werden und </w:t>
      </w:r>
      <w:proofErr w:type="gramStart"/>
      <w:r w:rsidR="003C34DA" w:rsidRPr="009F44C6">
        <w:t>soweit</w:t>
      </w:r>
      <w:proofErr w:type="gramEnd"/>
      <w:r w:rsidR="003C34DA" w:rsidRPr="009F44C6">
        <w:t xml:space="preserve"> nicht Gewährleistungszusagen aus den Veräußerungsgeschäften oder zu erwartende Auseinandersetzungskosten den Einbehalt im </w:t>
      </w:r>
      <w:r w:rsidR="00E741CE" w:rsidRPr="009F44C6">
        <w:t>Sondervermögen</w:t>
      </w:r>
      <w:r w:rsidR="003C34DA" w:rsidRPr="009F44C6">
        <w:t xml:space="preserve"> erforderlich machen</w:t>
      </w:r>
      <w:r w:rsidR="0064323E" w:rsidRPr="009F44C6">
        <w:t xml:space="preserve">, </w:t>
      </w:r>
      <w:r w:rsidR="00A22FA1" w:rsidRPr="009F44C6">
        <w:t xml:space="preserve">ist den Anlegern in Abstimmung mit der </w:t>
      </w:r>
      <w:r w:rsidR="00170E20" w:rsidRPr="009F44C6">
        <w:t xml:space="preserve">Verwahrstelle </w:t>
      </w:r>
      <w:r w:rsidR="0064323E" w:rsidRPr="009F44C6">
        <w:t xml:space="preserve">halbjährlich </w:t>
      </w:r>
      <w:r w:rsidR="00A22FA1" w:rsidRPr="009F44C6">
        <w:t>ein Abschlag</w:t>
      </w:r>
      <w:r w:rsidR="0064323E" w:rsidRPr="009F44C6">
        <w:t xml:space="preserve"> auszuzahlen.</w:t>
      </w:r>
      <w:r w:rsidR="007E5D27" w:rsidRPr="009F44C6">
        <w:t xml:space="preserve"> </w:t>
      </w:r>
    </w:p>
    <w:p w14:paraId="15DF6E14" w14:textId="491F0FAD" w:rsidR="002842C9" w:rsidRPr="009F44C6" w:rsidRDefault="002842C9">
      <w:r w:rsidRPr="000070D6">
        <w:t xml:space="preserve">2. Die Gesellschaft </w:t>
      </w:r>
      <w:r w:rsidR="00E36A0B" w:rsidRPr="0069163A">
        <w:t>behält sich vor</w:t>
      </w:r>
      <w:r w:rsidRPr="000070D6">
        <w:t>, die Verwalt</w:t>
      </w:r>
      <w:r w:rsidR="00BD4AA2" w:rsidRPr="008A5DCD">
        <w:t xml:space="preserve">ung des </w:t>
      </w:r>
      <w:r w:rsidR="00E741CE" w:rsidRPr="00A850AC">
        <w:t>Sondervermögen</w:t>
      </w:r>
      <w:r w:rsidR="00BD4AA2" w:rsidRPr="000070D6">
        <w:t xml:space="preserve">s </w:t>
      </w:r>
      <w:r w:rsidR="00E36A0B" w:rsidRPr="0069163A">
        <w:t>auch dann</w:t>
      </w:r>
      <w:r w:rsidR="00E36A0B">
        <w:t xml:space="preserve"> </w:t>
      </w:r>
      <w:r w:rsidRPr="000070D6">
        <w:t xml:space="preserve">zu kündigen, wenn das </w:t>
      </w:r>
      <w:r w:rsidR="00E741CE" w:rsidRPr="000070D6">
        <w:t>Sondervermögen</w:t>
      </w:r>
      <w:r w:rsidRPr="000070D6">
        <w:t xml:space="preserve"> nach Ablauf von vier Jahren seit seiner Bildung </w:t>
      </w:r>
      <w:r w:rsidRPr="0069163A">
        <w:t>ein</w:t>
      </w:r>
      <w:r w:rsidR="00E36A0B" w:rsidRPr="0069163A">
        <w:t>en</w:t>
      </w:r>
      <w:r w:rsidRPr="0069163A">
        <w:t xml:space="preserve"> </w:t>
      </w:r>
      <w:r w:rsidR="00E36A0B" w:rsidRPr="0069163A">
        <w:t>Nettoinventarwert</w:t>
      </w:r>
      <w:r w:rsidR="00E36A0B" w:rsidRPr="000070D6">
        <w:t xml:space="preserve"> </w:t>
      </w:r>
      <w:r w:rsidRPr="000070D6">
        <w:t>von 150 Millionen Euro unterschreitet.</w:t>
      </w:r>
    </w:p>
    <w:p w14:paraId="378EAA64" w14:textId="77777777" w:rsidR="002842C9" w:rsidRPr="009F44C6" w:rsidRDefault="002842C9">
      <w:r w:rsidRPr="009F44C6">
        <w:t xml:space="preserve">3. Mit dem Wirksamwerden der Kündigung erlischt das Recht der Gesellschaft, das </w:t>
      </w:r>
      <w:r w:rsidR="00E741CE" w:rsidRPr="009F44C6">
        <w:t>Sondervermögen</w:t>
      </w:r>
      <w:r w:rsidRPr="009F44C6">
        <w:t xml:space="preserve"> zu verwalten. </w:t>
      </w:r>
      <w:r w:rsidR="007210B5" w:rsidRPr="009F44C6">
        <w:t>Mit dem Verlust des Verwaltungsrechts</w:t>
      </w:r>
      <w:r w:rsidRPr="009F44C6">
        <w:t xml:space="preserve"> geht das </w:t>
      </w:r>
      <w:r w:rsidR="00E741CE" w:rsidRPr="009F44C6">
        <w:t>Sondervermögen</w:t>
      </w:r>
      <w:r w:rsidRPr="009F44C6">
        <w:t xml:space="preserve"> auf die </w:t>
      </w:r>
      <w:r w:rsidR="00170E20" w:rsidRPr="009F44C6">
        <w:t xml:space="preserve">Verwahrstelle </w:t>
      </w:r>
      <w:r w:rsidRPr="009F44C6">
        <w:t xml:space="preserve">über, die es abzuwickeln und den Liquidationserlös an die Anleger zu verteilen hat. Für die Zeit der Abwicklung </w:t>
      </w:r>
      <w:r w:rsidR="00130483" w:rsidRPr="009F44C6">
        <w:t xml:space="preserve">hat </w:t>
      </w:r>
      <w:r w:rsidRPr="009F44C6">
        <w:t xml:space="preserve">die </w:t>
      </w:r>
      <w:r w:rsidR="00170E20" w:rsidRPr="009F44C6">
        <w:t>V</w:t>
      </w:r>
      <w:r w:rsidR="00686F0E" w:rsidRPr="009F44C6">
        <w:t>erwahr</w:t>
      </w:r>
      <w:r w:rsidR="00170E20" w:rsidRPr="009F44C6">
        <w:t xml:space="preserve">stelle </w:t>
      </w:r>
      <w:r w:rsidR="00130483" w:rsidRPr="009F44C6">
        <w:t xml:space="preserve">einen Anspruch auf Vergütung ihrer Abwicklungstätigkeit sowie auf Ersatz ihrer Aufwendungen, die für die Abwicklung erforderlich sind. </w:t>
      </w:r>
    </w:p>
    <w:p w14:paraId="265818AE" w14:textId="2E4B1BEA" w:rsidR="0076430B" w:rsidRPr="009F44C6" w:rsidRDefault="002842C9" w:rsidP="00F81D58">
      <w:pPr>
        <w:spacing w:after="480"/>
      </w:pPr>
      <w:r w:rsidRPr="009F44C6">
        <w:t xml:space="preserve">4. Die Gesellschaft hat auf den Tag, an dem ihr Verwaltungsrecht nach Maßgabe des § </w:t>
      </w:r>
      <w:r w:rsidR="00686F0E" w:rsidRPr="009F44C6">
        <w:t>99 KAGB</w:t>
      </w:r>
      <w:r w:rsidRPr="009F44C6">
        <w:t xml:space="preserve"> erlischt, einen Auflösungsbericht zu erstellen, der den Anforderungen an einen Jahresbericht nach </w:t>
      </w:r>
      <w:r w:rsidR="00E471F9" w:rsidRPr="009F44C6">
        <w:t xml:space="preserve">§ 15 </w:t>
      </w:r>
      <w:r w:rsidR="00686F0E" w:rsidRPr="009F44C6">
        <w:t>Absatz 1</w:t>
      </w:r>
      <w:r w:rsidRPr="009F44C6">
        <w:t xml:space="preserve"> entspricht.</w:t>
      </w:r>
    </w:p>
    <w:p w14:paraId="5D3A69A6" w14:textId="77777777" w:rsidR="00E97FD0" w:rsidRPr="009F44C6" w:rsidRDefault="00E97FD0" w:rsidP="009B04AD">
      <w:pPr>
        <w:spacing w:after="480"/>
        <w:jc w:val="center"/>
        <w:rPr>
          <w:b/>
        </w:rPr>
      </w:pPr>
      <w:r w:rsidRPr="009F44C6">
        <w:rPr>
          <w:b/>
        </w:rPr>
        <w:t xml:space="preserve">§ 17 Wechsel der Kapitalverwaltungsgesellschaft und der Verwahrstelle </w:t>
      </w:r>
    </w:p>
    <w:p w14:paraId="24F3DBD9" w14:textId="77777777" w:rsidR="00E97FD0" w:rsidRPr="009F44C6" w:rsidRDefault="00E97FD0" w:rsidP="00996541">
      <w:r w:rsidRPr="009F44C6">
        <w:t>1. Die Gesellschaft kann das Sondervermögen auf eine andere Kapitalverwaltungsgesellschaft übertragen. Die Übertragung bedarf der vorherigen Genehmigung durch die Bundesanstalt.</w:t>
      </w:r>
    </w:p>
    <w:p w14:paraId="3A45E5CE" w14:textId="3356FCEC" w:rsidR="00E97FD0" w:rsidRPr="009F44C6" w:rsidRDefault="00E97FD0" w:rsidP="00E97FD0">
      <w:r w:rsidRPr="009F44C6">
        <w:lastRenderedPageBreak/>
        <w:t xml:space="preserve">2. Die genehmigte Übertragung wird im Bundesanzeiger und darüber hinaus im Jahresbericht oder Halbjahresbericht </w:t>
      </w:r>
      <w:bookmarkStart w:id="0" w:name="_Hlk71117359"/>
      <w:r w:rsidR="00033EEC" w:rsidRPr="00033EEC">
        <w:t xml:space="preserve">sowie in den in dem Verkaufsprospekt bezeichneten elektronischen Informationsmedien </w:t>
      </w:r>
      <w:bookmarkEnd w:id="0"/>
      <w:r w:rsidRPr="009F44C6">
        <w:t>bekannt gemacht. Die Übertragung wird frühestens drei Monate nach ihrer Bekanntmachung im Bundesanzeiger wirksam.</w:t>
      </w:r>
    </w:p>
    <w:p w14:paraId="6C47DC9E" w14:textId="1B7F85A7" w:rsidR="00A471CE" w:rsidRPr="00B15845" w:rsidRDefault="00E97FD0" w:rsidP="00E97FD0">
      <w:r w:rsidRPr="009F44C6">
        <w:t xml:space="preserve">3. Die Gesellschaft kann die Verwahrstelle für das Sondervermögen wechseln. Der Wechsel bedarf der Genehmigung der Bundesanstalt. </w:t>
      </w:r>
    </w:p>
    <w:p w14:paraId="2BA6B667" w14:textId="77777777" w:rsidR="002842C9" w:rsidRPr="009F44C6" w:rsidRDefault="002842C9">
      <w:pPr>
        <w:jc w:val="center"/>
        <w:rPr>
          <w:b/>
        </w:rPr>
      </w:pPr>
      <w:r w:rsidRPr="009F44C6">
        <w:rPr>
          <w:b/>
        </w:rPr>
        <w:t>§ 1</w:t>
      </w:r>
      <w:r w:rsidR="00E97FD0" w:rsidRPr="009F44C6">
        <w:rPr>
          <w:b/>
        </w:rPr>
        <w:t>8</w:t>
      </w:r>
      <w:r w:rsidRPr="009F44C6">
        <w:rPr>
          <w:b/>
        </w:rPr>
        <w:t xml:space="preserve"> Änderungen der </w:t>
      </w:r>
      <w:r w:rsidR="00686F0E" w:rsidRPr="009F44C6">
        <w:rPr>
          <w:b/>
        </w:rPr>
        <w:t>Anlagebedingungen</w:t>
      </w:r>
    </w:p>
    <w:p w14:paraId="35B05AAC" w14:textId="1ADD556E" w:rsidR="00046485" w:rsidRPr="009F44C6" w:rsidRDefault="00EF61E1" w:rsidP="00EA4DE3">
      <w:r w:rsidRPr="009F44C6">
        <w:t xml:space="preserve">1. </w:t>
      </w:r>
      <w:r w:rsidR="00046485" w:rsidRPr="009F44C6">
        <w:t xml:space="preserve">Die Gesellschaft kann die </w:t>
      </w:r>
      <w:r w:rsidR="00686F0E" w:rsidRPr="009F44C6">
        <w:t>Anlagebedingungen</w:t>
      </w:r>
      <w:r w:rsidR="0035062E" w:rsidRPr="009F44C6">
        <w:t xml:space="preserve"> </w:t>
      </w:r>
      <w:r w:rsidR="00046485" w:rsidRPr="009F44C6">
        <w:t>ändern</w:t>
      </w:r>
      <w:r w:rsidR="003D2896">
        <w:t xml:space="preserve">. </w:t>
      </w:r>
    </w:p>
    <w:p w14:paraId="49933660" w14:textId="4BF95793" w:rsidR="002842C9" w:rsidRPr="009F44C6" w:rsidRDefault="002842C9" w:rsidP="00046485">
      <w:r w:rsidRPr="009F44C6">
        <w:t xml:space="preserve">2. Änderungen der </w:t>
      </w:r>
      <w:r w:rsidR="007A7C55" w:rsidRPr="009F44C6">
        <w:t>Anlagebedingungen</w:t>
      </w:r>
      <w:r w:rsidRPr="009F44C6">
        <w:t xml:space="preserve"> einschließlich des Anhanges zu den Besonderen </w:t>
      </w:r>
      <w:r w:rsidR="001F7349" w:rsidRPr="009F44C6">
        <w:t>Anlagebedingungen</w:t>
      </w:r>
      <w:r w:rsidRPr="009F44C6">
        <w:t xml:space="preserve"> bedürfen der vorherigen Genehmigung durch die Bundesanstalt. </w:t>
      </w:r>
    </w:p>
    <w:p w14:paraId="2F99DC10" w14:textId="1525FD64" w:rsidR="00BD3868" w:rsidRDefault="002842C9" w:rsidP="00BD3868">
      <w:r w:rsidRPr="009F44C6">
        <w:t>3. Sämtliche vorgesehenen Änderungen werden im Bundesanzeiger und darüber hinaus in einer hinreichend verbreiteten Wirtschafts- oder Tageszeitung oder in den im Verkaufsprospekt bezeichneten elektronischen Informationsmedien bekannt gemacht</w:t>
      </w:r>
      <w:r w:rsidR="00E10E41" w:rsidRPr="009F44C6">
        <w:t>.</w:t>
      </w:r>
      <w:r w:rsidR="00297A01" w:rsidRPr="009F44C6">
        <w:t xml:space="preserve"> In einer Veröffentlichung nach Satz 1 ist auf die vorgesehenen Änderungen und ihr In-Kraft-</w:t>
      </w:r>
      <w:r w:rsidR="00256422" w:rsidRPr="009F44C6">
        <w:t>T</w:t>
      </w:r>
      <w:r w:rsidR="00297A01" w:rsidRPr="009F44C6">
        <w:t xml:space="preserve">reten hinzuweisen. </w:t>
      </w:r>
      <w:bookmarkStart w:id="1" w:name="_Hlk71117593"/>
      <w:r w:rsidR="00BD3868" w:rsidRPr="00BD3868">
        <w:t xml:space="preserve">Im Fall von anlegerbenachteiligenden </w:t>
      </w:r>
      <w:r w:rsidR="000070D6">
        <w:t>Kostenä</w:t>
      </w:r>
      <w:r w:rsidR="00BD3868" w:rsidRPr="00BD3868">
        <w:t xml:space="preserve">nderungen </w:t>
      </w:r>
      <w:r w:rsidR="000070D6">
        <w:t xml:space="preserve">im Sinne des </w:t>
      </w:r>
      <w:r w:rsidR="00BD3868" w:rsidRPr="00BD3868">
        <w:t>§ 162 Abs</w:t>
      </w:r>
      <w:r w:rsidR="00775574">
        <w:t>atz</w:t>
      </w:r>
      <w:r w:rsidR="00BD3868" w:rsidRPr="00BD3868">
        <w:t xml:space="preserve"> 2 Nummer 11 KAGB oder anlegerbenachteiligenden Änderungen in Bezug auf wesentliche Anlegerrechte sowie im Fall</w:t>
      </w:r>
      <w:r w:rsidR="000070D6">
        <w:t>e</w:t>
      </w:r>
      <w:r w:rsidR="00BD3868" w:rsidRPr="00BD3868">
        <w:t xml:space="preserve"> von Änderungen </w:t>
      </w:r>
      <w:r w:rsidR="0032391F">
        <w:t xml:space="preserve">der bisherigen Anlagegrundsätze </w:t>
      </w:r>
      <w:r w:rsidR="000070D6">
        <w:t xml:space="preserve">des Sondervermögens </w:t>
      </w:r>
      <w:r w:rsidR="00BD3868" w:rsidRPr="00BD3868">
        <w:t xml:space="preserve">im Sinne des </w:t>
      </w:r>
      <w:r w:rsidR="0032391F">
        <w:t xml:space="preserve">§ 163 </w:t>
      </w:r>
      <w:r w:rsidR="00BD3868" w:rsidRPr="00BD3868">
        <w:t>Abs</w:t>
      </w:r>
      <w:r w:rsidR="00775574">
        <w:t>atz</w:t>
      </w:r>
      <w:r w:rsidR="00BD3868">
        <w:t xml:space="preserve"> </w:t>
      </w:r>
      <w:r w:rsidR="00BD3868" w:rsidRPr="00BD3868">
        <w:t>3 Satz 1 KAGB sind den Anlegern zeitgleich mit der Bekanntmachung nach Satz 1 die wesentlichen Inhalte der vorgesehenen Änderungen der Anlagebedingungen und ihre Hintergründe in einer verständlichen Art und Weise mittels eines dauerhaften Datenträgers zu übermitteln</w:t>
      </w:r>
      <w:r w:rsidR="00FC2522">
        <w:t>.</w:t>
      </w:r>
      <w:r w:rsidR="00BD3868" w:rsidRPr="00BD3868">
        <w:t xml:space="preserve"> </w:t>
      </w:r>
      <w:r w:rsidR="00FC2522" w:rsidRPr="0069163A">
        <w:t>I</w:t>
      </w:r>
      <w:r w:rsidR="00BD3868" w:rsidRPr="0069163A">
        <w:t xml:space="preserve">m Falle von Änderungen der bisherigen Anlagegrundsätze </w:t>
      </w:r>
      <w:r w:rsidR="00FC2522" w:rsidRPr="0069163A">
        <w:t xml:space="preserve">sind </w:t>
      </w:r>
      <w:r w:rsidR="00BD3868" w:rsidRPr="0069163A">
        <w:t>die Anleger zusätzlich über ihre Rechte nach § 163 Abs</w:t>
      </w:r>
      <w:r w:rsidR="00775574" w:rsidRPr="0069163A">
        <w:t>atz</w:t>
      </w:r>
      <w:r w:rsidR="00BD3868" w:rsidRPr="0069163A">
        <w:t xml:space="preserve"> 3 KAGB </w:t>
      </w:r>
      <w:r w:rsidR="00FC2522" w:rsidRPr="0069163A">
        <w:t>zu informieren</w:t>
      </w:r>
      <w:r w:rsidR="00BD3868" w:rsidRPr="0069163A">
        <w:t>.</w:t>
      </w:r>
      <w:bookmarkEnd w:id="1"/>
    </w:p>
    <w:p w14:paraId="4E96D397" w14:textId="0CFDE24D" w:rsidR="002842C9" w:rsidRPr="009F44C6" w:rsidRDefault="002842C9" w:rsidP="00F81D58">
      <w:pPr>
        <w:spacing w:after="480"/>
      </w:pPr>
      <w:r w:rsidRPr="009F44C6">
        <w:lastRenderedPageBreak/>
        <w:t xml:space="preserve">4. </w:t>
      </w:r>
      <w:r w:rsidR="00AC6BE4" w:rsidRPr="009F44C6">
        <w:t xml:space="preserve">Die </w:t>
      </w:r>
      <w:r w:rsidRPr="009F44C6">
        <w:t xml:space="preserve">Änderungen treten </w:t>
      </w:r>
      <w:r w:rsidR="00AC6BE4" w:rsidRPr="009F44C6">
        <w:t xml:space="preserve">frühestens am Tag </w:t>
      </w:r>
      <w:r w:rsidRPr="009F44C6">
        <w:t xml:space="preserve">nach </w:t>
      </w:r>
      <w:r w:rsidR="00AC6BE4" w:rsidRPr="009F44C6">
        <w:t xml:space="preserve">ihrer </w:t>
      </w:r>
      <w:r w:rsidRPr="009F44C6">
        <w:t xml:space="preserve">Bekanntmachung </w:t>
      </w:r>
      <w:r w:rsidR="008F4833" w:rsidRPr="009F44C6">
        <w:t xml:space="preserve">im Bundesanzeiger </w:t>
      </w:r>
      <w:r w:rsidRPr="009F44C6">
        <w:t>in Kraft</w:t>
      </w:r>
      <w:r w:rsidR="008F4833" w:rsidRPr="009F44C6">
        <w:t>,</w:t>
      </w:r>
      <w:r w:rsidR="002A618F" w:rsidRPr="009F44C6">
        <w:t xml:space="preserve"> </w:t>
      </w:r>
      <w:r w:rsidR="008F4833" w:rsidRPr="009F44C6">
        <w:t>i</w:t>
      </w:r>
      <w:r w:rsidR="00AC6BE4" w:rsidRPr="009F44C6">
        <w:t xml:space="preserve">m Falle von </w:t>
      </w:r>
      <w:r w:rsidRPr="009F44C6">
        <w:t xml:space="preserve">Änderungen der </w:t>
      </w:r>
      <w:r w:rsidR="000D0604" w:rsidRPr="009F44C6">
        <w:t xml:space="preserve">Kosten und </w:t>
      </w:r>
      <w:r w:rsidR="008879D9" w:rsidRPr="009F44C6">
        <w:t xml:space="preserve">der </w:t>
      </w:r>
      <w:r w:rsidRPr="009F44C6">
        <w:t xml:space="preserve">Anlagegrundsätze des </w:t>
      </w:r>
      <w:r w:rsidR="00E741CE" w:rsidRPr="009F44C6">
        <w:t>Sondervermögen</w:t>
      </w:r>
      <w:r w:rsidRPr="009F44C6">
        <w:t xml:space="preserve">s </w:t>
      </w:r>
      <w:r w:rsidR="000D0604" w:rsidRPr="009F44C6">
        <w:t xml:space="preserve">jedoch nicht vor Ablauf von </w:t>
      </w:r>
      <w:r w:rsidR="007B4235">
        <w:t>vier Wochen</w:t>
      </w:r>
      <w:r w:rsidR="000D0604" w:rsidRPr="009F44C6">
        <w:t xml:space="preserve"> </w:t>
      </w:r>
      <w:r w:rsidRPr="009F44C6">
        <w:t xml:space="preserve">nach </w:t>
      </w:r>
      <w:r w:rsidR="000D0604" w:rsidRPr="009F44C6">
        <w:t xml:space="preserve">der entsprechenden </w:t>
      </w:r>
      <w:r w:rsidRPr="009F44C6">
        <w:t>Bekanntmachung</w:t>
      </w:r>
      <w:r w:rsidR="008F4833" w:rsidRPr="009F44C6">
        <w:t>.</w:t>
      </w:r>
    </w:p>
    <w:p w14:paraId="0B401CD4" w14:textId="77777777" w:rsidR="002842C9" w:rsidRPr="009F44C6" w:rsidRDefault="002842C9">
      <w:pPr>
        <w:jc w:val="center"/>
        <w:rPr>
          <w:b/>
        </w:rPr>
      </w:pPr>
      <w:r w:rsidRPr="009F44C6">
        <w:rPr>
          <w:b/>
        </w:rPr>
        <w:t>§ 1</w:t>
      </w:r>
      <w:r w:rsidR="00CD4DAD" w:rsidRPr="009F44C6">
        <w:rPr>
          <w:b/>
        </w:rPr>
        <w:t>9</w:t>
      </w:r>
      <w:r w:rsidRPr="009F44C6">
        <w:rPr>
          <w:b/>
        </w:rPr>
        <w:t xml:space="preserve"> Erfüllungsort</w:t>
      </w:r>
    </w:p>
    <w:p w14:paraId="359EA3BE" w14:textId="4B0D2829" w:rsidR="001127E5" w:rsidRDefault="002842C9">
      <w:r w:rsidRPr="009F44C6">
        <w:t>Erfüllungsort ist der Sitz der Gesellschaft.</w:t>
      </w:r>
    </w:p>
    <w:p w14:paraId="171AE91F" w14:textId="77777777" w:rsidR="008A5DCD" w:rsidRDefault="008A5DCD" w:rsidP="008A5DCD"/>
    <w:p w14:paraId="7E6E0E4B" w14:textId="3E756D9A" w:rsidR="008A5DCD" w:rsidRPr="003C158F" w:rsidRDefault="008A5DCD" w:rsidP="0069163A">
      <w:pPr>
        <w:pStyle w:val="Bearb-Hinweis"/>
        <w:pBdr>
          <w:top w:val="single" w:sz="4" w:space="1" w:color="auto"/>
          <w:left w:val="single" w:sz="4" w:space="29" w:color="auto"/>
          <w:bottom w:val="single" w:sz="4" w:space="1" w:color="auto"/>
          <w:right w:val="single" w:sz="4" w:space="31" w:color="auto"/>
        </w:pBdr>
        <w:jc w:val="center"/>
        <w:rPr>
          <w:b/>
          <w:bCs/>
          <w:sz w:val="24"/>
          <w:szCs w:val="24"/>
          <w:u w:val="single"/>
        </w:rPr>
      </w:pPr>
      <w:r w:rsidRPr="003C158F">
        <w:rPr>
          <w:b/>
          <w:bCs/>
          <w:sz w:val="24"/>
          <w:szCs w:val="24"/>
          <w:u w:val="single"/>
        </w:rPr>
        <w:t xml:space="preserve">§ </w:t>
      </w:r>
      <w:r>
        <w:rPr>
          <w:b/>
          <w:bCs/>
          <w:sz w:val="24"/>
          <w:szCs w:val="24"/>
          <w:u w:val="single"/>
        </w:rPr>
        <w:t>20</w:t>
      </w:r>
      <w:r w:rsidRPr="003C158F">
        <w:rPr>
          <w:b/>
          <w:bCs/>
          <w:sz w:val="24"/>
          <w:szCs w:val="24"/>
          <w:u w:val="single"/>
        </w:rPr>
        <w:t xml:space="preserve"> Streitbeilegungsverfahren</w:t>
      </w:r>
    </w:p>
    <w:p w14:paraId="5F2750C0" w14:textId="77777777" w:rsidR="008A5DCD" w:rsidRDefault="008A5DCD" w:rsidP="0069163A">
      <w:pPr>
        <w:pStyle w:val="Bearb-Hinweis"/>
        <w:pBdr>
          <w:top w:val="single" w:sz="4" w:space="1" w:color="auto"/>
          <w:left w:val="single" w:sz="4" w:space="29" w:color="auto"/>
          <w:bottom w:val="single" w:sz="4" w:space="1" w:color="auto"/>
          <w:right w:val="single" w:sz="4" w:space="31" w:color="auto"/>
        </w:pBdr>
      </w:pPr>
      <w:r>
        <w:rPr>
          <w:u w:val="single"/>
        </w:rPr>
        <w:t>Bearbeiterhinweis</w:t>
      </w:r>
      <w:r>
        <w:t>:</w:t>
      </w:r>
    </w:p>
    <w:p w14:paraId="0251B92F" w14:textId="6D5141DF" w:rsidR="008A5DCD" w:rsidRDefault="008A5DCD" w:rsidP="0069163A">
      <w:pPr>
        <w:pStyle w:val="Bearb-Hinweis"/>
        <w:pBdr>
          <w:top w:val="single" w:sz="4" w:space="1" w:color="auto"/>
          <w:left w:val="single" w:sz="4" w:space="29" w:color="auto"/>
          <w:bottom w:val="single" w:sz="4" w:space="1" w:color="auto"/>
          <w:right w:val="single" w:sz="4" w:space="31" w:color="auto"/>
        </w:pBdr>
        <w:jc w:val="left"/>
      </w:pPr>
      <w:r>
        <w:t xml:space="preserve">Gesellschaften sind nach Maßgabe des § 36 Verbraucherstreitbeilegungsgesetz (VSBG) verpflichtet, Verbraucher </w:t>
      </w:r>
      <w:r w:rsidR="00BC0FD5" w:rsidRPr="00BC0FD5">
        <w:t>auf ihrer Website und</w:t>
      </w:r>
      <w:r w:rsidR="00BC0FD5">
        <w:t xml:space="preserve"> </w:t>
      </w:r>
      <w:r>
        <w:t xml:space="preserve">in ihren Allgemeinen Geschäftsbedingungen </w:t>
      </w:r>
      <w:r w:rsidR="00BC0FD5" w:rsidRPr="00BC0FD5">
        <w:t>leicht zugänglich, klar und verständlich</w:t>
      </w:r>
      <w:r w:rsidR="00BC0FD5">
        <w:t xml:space="preserve"> </w:t>
      </w:r>
      <w:r>
        <w:t xml:space="preserve">über die Möglichkeiten alternativer Streitbeilegung zu informieren. Zudem müssen sie auf die Online-Streitbeilegungsplattform der EU-Kommission hinweisen. </w:t>
      </w:r>
    </w:p>
    <w:p w14:paraId="1439F4FA" w14:textId="77777777" w:rsidR="008A5DCD" w:rsidRDefault="008A5DCD" w:rsidP="0069163A">
      <w:pPr>
        <w:pStyle w:val="Bearb-Hinweis"/>
        <w:pBdr>
          <w:top w:val="single" w:sz="4" w:space="1" w:color="auto"/>
          <w:left w:val="single" w:sz="4" w:space="29" w:color="auto"/>
          <w:bottom w:val="single" w:sz="4" w:space="1" w:color="auto"/>
          <w:right w:val="single" w:sz="4" w:space="31" w:color="auto"/>
        </w:pBdr>
        <w:jc w:val="left"/>
      </w:pPr>
      <w:r>
        <w:t>Wenn eine Gesellschaft sich verpflichtet hat, am Streitbeilegungsverfahren einer anerkannten privaten Verbraucherschlichtungsstelle, wie der Ombudsstelle für Investmentfonds des BVI, teilzunehmen, kann wie folgt formuliert werden:</w:t>
      </w:r>
    </w:p>
    <w:p w14:paraId="0E77D771" w14:textId="77777777" w:rsidR="008A5DCD" w:rsidRPr="00653C93" w:rsidRDefault="008A5DCD" w:rsidP="0069163A">
      <w:pPr>
        <w:pStyle w:val="Bearb-Hinweis"/>
        <w:pBdr>
          <w:top w:val="single" w:sz="4" w:space="1" w:color="auto"/>
          <w:left w:val="single" w:sz="4" w:space="29" w:color="auto"/>
          <w:bottom w:val="single" w:sz="4" w:space="1" w:color="auto"/>
          <w:right w:val="single" w:sz="4" w:space="31" w:color="auto"/>
        </w:pBdr>
        <w:jc w:val="left"/>
        <w:rPr>
          <w:b/>
          <w:bCs/>
        </w:rPr>
      </w:pPr>
      <w:r w:rsidRPr="00653C93">
        <w:rPr>
          <w:b/>
          <w:bCs/>
        </w:rPr>
        <w:t>„Die Gesellschaft hat</w:t>
      </w:r>
      <w:r>
        <w:rPr>
          <w:b/>
          <w:bCs/>
        </w:rPr>
        <w:t xml:space="preserve"> </w:t>
      </w:r>
      <w:r w:rsidRPr="00653C93">
        <w:rPr>
          <w:b/>
          <w:bCs/>
        </w:rPr>
        <w:t>sich zur Teilnahme an Streitbeilegungsverfahren vor einer Verbraucherschlichtungsstelle verpflichtet.</w:t>
      </w:r>
      <w:r w:rsidRPr="00653C93">
        <w:rPr>
          <w:rStyle w:val="Funotenzeichen"/>
          <w:b/>
          <w:bCs/>
        </w:rPr>
        <w:footnoteReference w:id="2"/>
      </w:r>
      <w:r w:rsidRPr="00653C93">
        <w:rPr>
          <w:b/>
          <w:bCs/>
        </w:rPr>
        <w:t xml:space="preserve"> Bei Streitigkeiten können Verbraucher die [Ombudsstelle für Investmentfonds des BVI Bundesverband Investment und Asset Management e.V.] als zuständige Verbraucherschlichtungsstelle anrufen. Die Gesellschaft nimmt an Streitbeilegungsverfahren vor dieser Schlichtungsstelle teil.</w:t>
      </w:r>
      <w:r w:rsidRPr="00653C93">
        <w:rPr>
          <w:rStyle w:val="Funotenzeichen"/>
          <w:b/>
          <w:bCs/>
        </w:rPr>
        <w:footnoteReference w:id="3"/>
      </w:r>
    </w:p>
    <w:p w14:paraId="2690D282" w14:textId="77777777" w:rsidR="008A5DCD" w:rsidRPr="00653C93" w:rsidRDefault="008A5DCD" w:rsidP="0069163A">
      <w:pPr>
        <w:pStyle w:val="Bearb-Hinweis"/>
        <w:pBdr>
          <w:top w:val="single" w:sz="4" w:space="1" w:color="auto"/>
          <w:left w:val="single" w:sz="4" w:space="29" w:color="auto"/>
          <w:bottom w:val="single" w:sz="4" w:space="1" w:color="auto"/>
          <w:right w:val="single" w:sz="4" w:space="31" w:color="auto"/>
        </w:pBdr>
        <w:rPr>
          <w:b/>
          <w:bCs/>
        </w:rPr>
      </w:pPr>
      <w:r w:rsidRPr="00653C93">
        <w:rPr>
          <w:b/>
          <w:bCs/>
        </w:rPr>
        <w:t>Die Kontaktdaten lauten: [Büro der Ombudsstelle des BVI Bundesverband Investment und Asset Management e.V., Unter den Linden 42, 10117 Berlin, www.ombudsstelle-investmentfonds.de].</w:t>
      </w:r>
    </w:p>
    <w:p w14:paraId="1CE89182" w14:textId="77777777" w:rsidR="008A5DCD" w:rsidRDefault="008A5DCD" w:rsidP="0069163A">
      <w:pPr>
        <w:pStyle w:val="Bearb-Hinweis"/>
        <w:pBdr>
          <w:top w:val="single" w:sz="4" w:space="1" w:color="auto"/>
          <w:left w:val="single" w:sz="4" w:space="29" w:color="auto"/>
          <w:bottom w:val="single" w:sz="4" w:space="1" w:color="auto"/>
          <w:right w:val="single" w:sz="4" w:space="31" w:color="auto"/>
        </w:pBdr>
        <w:jc w:val="left"/>
        <w:rPr>
          <w:b/>
          <w:bCs/>
        </w:rPr>
      </w:pPr>
      <w:r w:rsidRPr="00653C93">
        <w:rPr>
          <w:b/>
          <w:bCs/>
        </w:rPr>
        <w:t xml:space="preserve">Die Europäische Kommission hat unter </w:t>
      </w:r>
      <w:hyperlink r:id="rId10" w:history="1">
        <w:r w:rsidRPr="00653C93">
          <w:rPr>
            <w:rStyle w:val="Hyperlink"/>
            <w:b/>
            <w:bCs/>
          </w:rPr>
          <w:t>www.ec.europa.eu/consumers/odr</w:t>
        </w:r>
      </w:hyperlink>
      <w:r w:rsidRPr="00653C93">
        <w:rPr>
          <w:rStyle w:val="Funotenzeichen"/>
          <w:b/>
          <w:bCs/>
        </w:rPr>
        <w:footnoteReference w:id="4"/>
      </w:r>
      <w:r>
        <w:rPr>
          <w:b/>
          <w:bCs/>
        </w:rPr>
        <w:t xml:space="preserve"> </w:t>
      </w:r>
      <w:r w:rsidRPr="00653C93">
        <w:rPr>
          <w:b/>
          <w:bCs/>
        </w:rPr>
        <w:t>eine europäische Online-Streitbeilegungsplattform eingerichtet. Verbraucher können diese für die außergerichtliche Beilegung von Streitigkeiten aus Online-Kaufverträgen oder Online-Dienstleistungsverträgen nutzen. Die E-Mail-Adresse der Gesellschaft lautet: […].“</w:t>
      </w:r>
    </w:p>
    <w:p w14:paraId="2122D842" w14:textId="6106374B" w:rsidR="008A5DCD" w:rsidRDefault="008A5DCD" w:rsidP="0069163A">
      <w:pPr>
        <w:pStyle w:val="Bearb-Hinweis"/>
        <w:pBdr>
          <w:top w:val="single" w:sz="4" w:space="1" w:color="auto"/>
          <w:left w:val="single" w:sz="4" w:space="29" w:color="auto"/>
          <w:bottom w:val="single" w:sz="4" w:space="1" w:color="auto"/>
          <w:right w:val="single" w:sz="4" w:space="31" w:color="auto"/>
        </w:pBdr>
        <w:jc w:val="left"/>
      </w:pPr>
      <w:r>
        <w:t xml:space="preserve">Wenn eine Gesellschaft sich </w:t>
      </w:r>
      <w:r w:rsidRPr="00743802">
        <w:rPr>
          <w:b/>
          <w:bCs/>
          <w:u w:val="single"/>
        </w:rPr>
        <w:t>nicht</w:t>
      </w:r>
      <w:r>
        <w:t xml:space="preserve"> verpflichtet hat, am Streitbeilegungsverfahren einer anerkannten privaten Verbraucherschlichtungsstelle teilzunehmen, </w:t>
      </w:r>
      <w:r w:rsidR="00BC0FD5" w:rsidRPr="00BC0FD5">
        <w:t>hat sie darüber zu informieren, inwieweit sie bereit ist, an Streitbeilegungsverfahren vor einer Verbraucherschlichtungsstelle teilzunehmen und</w:t>
      </w:r>
      <w:r w:rsidR="00BC0FD5">
        <w:t xml:space="preserve"> </w:t>
      </w:r>
      <w:r>
        <w:t xml:space="preserve">sollte </w:t>
      </w:r>
      <w:r w:rsidR="00BC0FD5" w:rsidRPr="00BC0FD5">
        <w:t>im Fall der Bereitschaft</w:t>
      </w:r>
      <w:r w:rsidR="00BC0FD5">
        <w:t xml:space="preserve"> </w:t>
      </w:r>
      <w:r>
        <w:t xml:space="preserve">wie nachfolgend auf die Schlichtungsstelle </w:t>
      </w:r>
      <w:r w:rsidR="00BC0FD5">
        <w:t>bei der BaFin hinweisen</w:t>
      </w:r>
      <w:r>
        <w:t xml:space="preserve">. Die </w:t>
      </w:r>
      <w:r w:rsidR="00BC0FD5">
        <w:t xml:space="preserve">Schlichtungsstelle bei der </w:t>
      </w:r>
      <w:r>
        <w:t xml:space="preserve">BaFin ist gesetzliche Auffangschlichtungsstelle im Finanz- bzw. Kapitalanlagebereich. </w:t>
      </w:r>
    </w:p>
    <w:p w14:paraId="50CF2003" w14:textId="4E92E0F0" w:rsidR="008A5DCD" w:rsidRPr="00653C93" w:rsidRDefault="008A5DCD" w:rsidP="0069163A">
      <w:pPr>
        <w:pStyle w:val="Bearb-Hinweis"/>
        <w:pBdr>
          <w:top w:val="single" w:sz="4" w:space="1" w:color="auto"/>
          <w:left w:val="single" w:sz="4" w:space="29" w:color="auto"/>
          <w:bottom w:val="single" w:sz="4" w:space="1" w:color="auto"/>
          <w:right w:val="single" w:sz="4" w:space="31" w:color="auto"/>
        </w:pBdr>
        <w:jc w:val="left"/>
        <w:rPr>
          <w:b/>
          <w:bCs/>
        </w:rPr>
      </w:pPr>
      <w:r w:rsidRPr="00653C93">
        <w:rPr>
          <w:b/>
          <w:bCs/>
        </w:rPr>
        <w:t>„Be</w:t>
      </w:r>
      <w:r>
        <w:rPr>
          <w:b/>
          <w:bCs/>
        </w:rPr>
        <w:t>i Streitigkeiten</w:t>
      </w:r>
      <w:r w:rsidR="00BC0FD5">
        <w:rPr>
          <w:b/>
          <w:bCs/>
        </w:rPr>
        <w:t>, an denen</w:t>
      </w:r>
      <w:r>
        <w:rPr>
          <w:b/>
          <w:bCs/>
        </w:rPr>
        <w:t xml:space="preserve"> Verbraucher </w:t>
      </w:r>
      <w:r w:rsidR="00BC0FD5">
        <w:rPr>
          <w:b/>
          <w:bCs/>
        </w:rPr>
        <w:t xml:space="preserve">beteiligt sind, können sich die Beteiligten </w:t>
      </w:r>
      <w:r>
        <w:rPr>
          <w:b/>
          <w:bCs/>
        </w:rPr>
        <w:t>an die b</w:t>
      </w:r>
      <w:r w:rsidRPr="00657736">
        <w:rPr>
          <w:b/>
          <w:bCs/>
        </w:rPr>
        <w:t>ehördliche Verbraucherschlichtungsstelle</w:t>
      </w:r>
      <w:r>
        <w:rPr>
          <w:b/>
          <w:bCs/>
        </w:rPr>
        <w:t xml:space="preserve"> bei der </w:t>
      </w:r>
      <w:r w:rsidRPr="00657736">
        <w:rPr>
          <w:b/>
          <w:bCs/>
        </w:rPr>
        <w:t>Bundesanstalt für Finanzdienstleistungsaufsicht</w:t>
      </w:r>
      <w:r>
        <w:rPr>
          <w:b/>
          <w:bCs/>
        </w:rPr>
        <w:t xml:space="preserve"> </w:t>
      </w:r>
      <w:r w:rsidRPr="003C158F">
        <w:rPr>
          <w:b/>
          <w:bCs/>
        </w:rPr>
        <w:t xml:space="preserve">(Schlichtungsstelle bei der BaFin, Graurheindorfer Straße 108, 53117 Bonn, </w:t>
      </w:r>
      <w:hyperlink r:id="rId11" w:history="1">
        <w:r w:rsidRPr="003C158F">
          <w:rPr>
            <w:b/>
            <w:bCs/>
          </w:rPr>
          <w:t>www.bafin.de/schlichtungsstelle</w:t>
        </w:r>
      </w:hyperlink>
      <w:r w:rsidRPr="003C158F">
        <w:rPr>
          <w:b/>
          <w:bCs/>
        </w:rPr>
        <w:t xml:space="preserve">) </w:t>
      </w:r>
      <w:r>
        <w:rPr>
          <w:b/>
          <w:bCs/>
        </w:rPr>
        <w:t>wenden.“</w:t>
      </w:r>
      <w:r w:rsidR="00BC0FD5" w:rsidRPr="00BC0FD5">
        <w:t xml:space="preserve"> </w:t>
      </w:r>
      <w:r w:rsidR="00BC0FD5" w:rsidRPr="00BC0FD5">
        <w:rPr>
          <w:b/>
          <w:bCs/>
        </w:rPr>
        <w:t>Die Europäische Kommission hat unter www.ec.europa.eu/consumers/odr eine europäische Online-Streitbeilegungsplattform eingerichtet. Verbraucher können diese für die außergerichtliche Beilegung von Streitigkeiten aus Online-Kaufverträgen oder Online-Dienstleistungsverträgen nutzen. Die E-Mail-Adresse der Gesellschaft lautet: […].“</w:t>
      </w:r>
    </w:p>
    <w:p w14:paraId="4498B92D" w14:textId="3204D282" w:rsidR="008A5DCD" w:rsidRDefault="008A5DCD"/>
    <w:p w14:paraId="7E0C92EC" w14:textId="77777777" w:rsidR="008A5DCD" w:rsidRDefault="008A5DCD"/>
    <w:sectPr w:rsidR="008A5DCD" w:rsidSect="0069694F">
      <w:headerReference w:type="even" r:id="rId12"/>
      <w:headerReference w:type="default" r:id="rId13"/>
      <w:footerReference w:type="default" r:id="rId14"/>
      <w:headerReference w:type="first" r:id="rId15"/>
      <w:pgSz w:w="11906" w:h="16838"/>
      <w:pgMar w:top="2269" w:right="2550" w:bottom="226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BC61" w14:textId="77777777" w:rsidR="001E475E" w:rsidRDefault="001E475E">
      <w:r>
        <w:separator/>
      </w:r>
    </w:p>
    <w:p w14:paraId="5857CCD3" w14:textId="77777777" w:rsidR="001E475E" w:rsidRDefault="001E475E"/>
    <w:p w14:paraId="3B599099" w14:textId="77777777" w:rsidR="001E475E" w:rsidRDefault="001E475E"/>
    <w:p w14:paraId="760CFE2B" w14:textId="77777777" w:rsidR="001E475E" w:rsidRDefault="001E475E"/>
  </w:endnote>
  <w:endnote w:type="continuationSeparator" w:id="0">
    <w:p w14:paraId="1B494798" w14:textId="77777777" w:rsidR="001E475E" w:rsidRDefault="001E475E">
      <w:r>
        <w:continuationSeparator/>
      </w:r>
    </w:p>
    <w:p w14:paraId="654C5C52" w14:textId="77777777" w:rsidR="001E475E" w:rsidRDefault="001E475E"/>
    <w:p w14:paraId="3D7EA848" w14:textId="77777777" w:rsidR="001E475E" w:rsidRDefault="001E475E"/>
    <w:p w14:paraId="3F0A9A9D" w14:textId="77777777" w:rsidR="001E475E" w:rsidRDefault="001E4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EDFD" w14:textId="122E8B4D" w:rsidR="00FB275B" w:rsidRDefault="00FB275B">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1056" w14:textId="0F7046F4" w:rsidR="00FB275B" w:rsidRDefault="00FB275B">
    <w:pPr>
      <w:pStyle w:val="Fuzeile"/>
      <w:jc w:val="center"/>
    </w:pPr>
    <w:r>
      <w:rPr>
        <w:rStyle w:val="Seitenzahl"/>
      </w:rPr>
      <w:fldChar w:fldCharType="begin"/>
    </w:r>
    <w:r>
      <w:rPr>
        <w:rStyle w:val="Seitenzahl"/>
      </w:rPr>
      <w:instrText xml:space="preserve"> PAGE </w:instrText>
    </w:r>
    <w:r>
      <w:rPr>
        <w:rStyle w:val="Seitenzahl"/>
      </w:rPr>
      <w:fldChar w:fldCharType="separate"/>
    </w:r>
    <w:r w:rsidR="009E26D1">
      <w:rPr>
        <w:rStyle w:val="Seitenzahl"/>
        <w:noProof/>
      </w:rPr>
      <w:t>2</w:t>
    </w:r>
    <w:r w:rsidR="009E26D1">
      <w:rPr>
        <w:rStyle w:val="Seitenzahl"/>
        <w:noProof/>
      </w:rPr>
      <w:t>6</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D199" w14:textId="77777777" w:rsidR="001E475E" w:rsidRDefault="001E475E">
      <w:r>
        <w:separator/>
      </w:r>
    </w:p>
  </w:footnote>
  <w:footnote w:type="continuationSeparator" w:id="0">
    <w:p w14:paraId="154066EC" w14:textId="77777777" w:rsidR="001E475E" w:rsidRDefault="001E475E">
      <w:r>
        <w:continuationSeparator/>
      </w:r>
    </w:p>
  </w:footnote>
  <w:footnote w:id="1">
    <w:p w14:paraId="569B7235" w14:textId="77777777" w:rsidR="00414820" w:rsidRPr="00DB40D3" w:rsidRDefault="00414820" w:rsidP="005252B4">
      <w:pPr>
        <w:pStyle w:val="Funotentext"/>
        <w:spacing w:after="0" w:line="288" w:lineRule="auto"/>
        <w:rPr>
          <w:sz w:val="18"/>
          <w:szCs w:val="18"/>
        </w:rPr>
      </w:pPr>
      <w:r w:rsidRPr="00FC6609">
        <w:rPr>
          <w:rStyle w:val="Funotenzeichen"/>
        </w:rPr>
        <w:footnoteRef/>
      </w:r>
      <w:r>
        <w:t xml:space="preserve"> </w:t>
      </w:r>
      <w:r w:rsidR="00967834" w:rsidRPr="00253F6D">
        <w:rPr>
          <w:sz w:val="18"/>
          <w:szCs w:val="18"/>
          <w:lang w:val="de-DE"/>
        </w:rPr>
        <w:t>Die Einfügung des in Klammern gesetzten Textes ist n</w:t>
      </w:r>
      <w:r w:rsidRPr="00253F6D">
        <w:rPr>
          <w:sz w:val="18"/>
          <w:szCs w:val="18"/>
        </w:rPr>
        <w:t>ur</w:t>
      </w:r>
      <w:r w:rsidRPr="00967834">
        <w:rPr>
          <w:sz w:val="18"/>
          <w:szCs w:val="18"/>
        </w:rPr>
        <w:t xml:space="preserve"> erforderlich</w:t>
      </w:r>
      <w:r w:rsidRPr="00253F6D">
        <w:rPr>
          <w:sz w:val="18"/>
          <w:szCs w:val="18"/>
        </w:rPr>
        <w:t xml:space="preserve">, </w:t>
      </w:r>
      <w:r w:rsidRPr="00E36487">
        <w:rPr>
          <w:sz w:val="18"/>
          <w:szCs w:val="18"/>
        </w:rPr>
        <w:t xml:space="preserve">wenn </w:t>
      </w:r>
      <w:r w:rsidR="00967834" w:rsidRPr="00E36487">
        <w:rPr>
          <w:sz w:val="18"/>
          <w:szCs w:val="18"/>
          <w:lang w:val="de-DE"/>
        </w:rPr>
        <w:t xml:space="preserve">die </w:t>
      </w:r>
      <w:r w:rsidRPr="00E36487">
        <w:rPr>
          <w:sz w:val="18"/>
          <w:szCs w:val="18"/>
        </w:rPr>
        <w:t xml:space="preserve">Gesellschaft auch </w:t>
      </w:r>
      <w:r w:rsidR="00967834" w:rsidRPr="00E471F9">
        <w:rPr>
          <w:sz w:val="18"/>
          <w:szCs w:val="18"/>
          <w:lang w:val="de-DE"/>
        </w:rPr>
        <w:t>Immobilien-</w:t>
      </w:r>
      <w:r w:rsidRPr="00E471F9">
        <w:rPr>
          <w:sz w:val="18"/>
          <w:szCs w:val="18"/>
        </w:rPr>
        <w:t>Sondervermögen mit Regelung</w:t>
      </w:r>
      <w:r w:rsidR="00967834" w:rsidRPr="00E471F9">
        <w:rPr>
          <w:sz w:val="18"/>
          <w:szCs w:val="18"/>
          <w:lang w:val="de-DE"/>
        </w:rPr>
        <w:t>en</w:t>
      </w:r>
      <w:r w:rsidRPr="00DB40D3">
        <w:rPr>
          <w:sz w:val="18"/>
          <w:szCs w:val="18"/>
        </w:rPr>
        <w:t xml:space="preserve"> zu effektiven Stücken in BABen verwaltet. </w:t>
      </w:r>
    </w:p>
  </w:footnote>
  <w:footnote w:id="2">
    <w:p w14:paraId="2525BCCA" w14:textId="77777777" w:rsidR="008A5DCD" w:rsidRPr="0052782C" w:rsidRDefault="008A5DCD" w:rsidP="008A5DCD">
      <w:pPr>
        <w:pStyle w:val="Default"/>
        <w:rPr>
          <w:rFonts w:ascii="Arial" w:hAnsi="Arial" w:cs="Arial"/>
          <w:sz w:val="20"/>
          <w:szCs w:val="20"/>
        </w:rPr>
      </w:pPr>
      <w:r w:rsidRPr="0052782C">
        <w:rPr>
          <w:rStyle w:val="Funotenzeichen"/>
          <w:rFonts w:ascii="Arial" w:hAnsi="Arial" w:cs="Arial"/>
          <w:sz w:val="20"/>
          <w:szCs w:val="20"/>
        </w:rPr>
        <w:footnoteRef/>
      </w:r>
      <w:r w:rsidRPr="0052782C">
        <w:rPr>
          <w:rFonts w:ascii="Arial" w:hAnsi="Arial" w:cs="Arial"/>
          <w:sz w:val="20"/>
          <w:szCs w:val="20"/>
        </w:rPr>
        <w:t xml:space="preserve"> §36 Absatz 1 Nr. 1 VSBG</w:t>
      </w:r>
    </w:p>
  </w:footnote>
  <w:footnote w:id="3">
    <w:p w14:paraId="33C865AE" w14:textId="77777777" w:rsidR="008A5DCD" w:rsidRPr="0052782C" w:rsidRDefault="008A5DCD" w:rsidP="008A5DCD">
      <w:pPr>
        <w:pStyle w:val="Default"/>
        <w:rPr>
          <w:rFonts w:ascii="Arial" w:hAnsi="Arial" w:cs="Arial"/>
          <w:sz w:val="20"/>
          <w:szCs w:val="20"/>
        </w:rPr>
      </w:pPr>
      <w:r w:rsidRPr="0052782C">
        <w:rPr>
          <w:rStyle w:val="Funotenzeichen"/>
          <w:rFonts w:ascii="Arial" w:hAnsi="Arial" w:cs="Arial"/>
          <w:sz w:val="20"/>
          <w:szCs w:val="20"/>
        </w:rPr>
        <w:footnoteRef/>
      </w:r>
      <w:r w:rsidRPr="0052782C">
        <w:rPr>
          <w:rFonts w:ascii="Arial" w:hAnsi="Arial" w:cs="Arial"/>
          <w:sz w:val="20"/>
          <w:szCs w:val="20"/>
        </w:rPr>
        <w:t xml:space="preserve"> §36 Absatz 1 Nr. 2 VSBG</w:t>
      </w:r>
    </w:p>
  </w:footnote>
  <w:footnote w:id="4">
    <w:p w14:paraId="29F184F3" w14:textId="77777777" w:rsidR="008A5DCD" w:rsidRDefault="008A5DCD" w:rsidP="008A5DCD">
      <w:pPr>
        <w:pStyle w:val="Default"/>
      </w:pPr>
      <w:r w:rsidRPr="0052782C">
        <w:rPr>
          <w:rStyle w:val="Funotenzeichen"/>
          <w:rFonts w:ascii="Arial" w:hAnsi="Arial" w:cs="Arial"/>
          <w:sz w:val="20"/>
          <w:szCs w:val="20"/>
        </w:rPr>
        <w:footnoteRef/>
      </w:r>
      <w:r w:rsidRPr="0052782C">
        <w:rPr>
          <w:rStyle w:val="Funotenzeichen"/>
          <w:rFonts w:ascii="Arial" w:hAnsi="Arial" w:cs="Arial"/>
          <w:sz w:val="20"/>
          <w:szCs w:val="20"/>
        </w:rPr>
        <w:t xml:space="preserve">  </w:t>
      </w:r>
      <w:r w:rsidRPr="0052782C">
        <w:rPr>
          <w:rFonts w:ascii="Arial" w:hAnsi="Arial" w:cs="Arial"/>
          <w:sz w:val="20"/>
          <w:szCs w:val="20"/>
        </w:rPr>
        <w:t>Artikel 14 Verordnung (EU) 524/2013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5313" w14:textId="77777777" w:rsidR="00FB275B" w:rsidRDefault="00FB275B">
    <w:pPr>
      <w:pStyle w:val="Kopfzeile"/>
      <w:spacing w:after="0" w:line="240" w:lineRule="auto"/>
      <w:jc w:val="center"/>
      <w:rPr>
        <w:b/>
        <w:sz w:val="16"/>
      </w:rPr>
    </w:pPr>
  </w:p>
  <w:p w14:paraId="10DCB854" w14:textId="77777777" w:rsidR="00FB275B" w:rsidRDefault="00FB275B">
    <w:pPr>
      <w:pStyle w:val="Kopfzeile"/>
      <w:spacing w:after="0" w:line="240" w:lineRule="auto"/>
      <w:jc w:val="center"/>
      <w:rPr>
        <w:b/>
        <w:sz w:val="20"/>
      </w:rPr>
    </w:pPr>
    <w:r>
      <w:rPr>
        <w:b/>
        <w:sz w:val="20"/>
      </w:rPr>
      <w:t xml:space="preserve">Allgemeine </w:t>
    </w:r>
    <w:r>
      <w:rPr>
        <w:b/>
        <w:sz w:val="20"/>
        <w:lang w:val="de-DE"/>
      </w:rPr>
      <w:t>Anlage</w:t>
    </w:r>
    <w:proofErr w:type="spellStart"/>
    <w:r>
      <w:rPr>
        <w:b/>
        <w:sz w:val="20"/>
      </w:rPr>
      <w:t>bedingungen</w:t>
    </w:r>
    <w:proofErr w:type="spellEnd"/>
    <w:r>
      <w:rPr>
        <w:b/>
        <w:sz w:val="20"/>
      </w:rPr>
      <w:t xml:space="preserve"> für ein</w:t>
    </w:r>
  </w:p>
  <w:p w14:paraId="7E98195F" w14:textId="77777777" w:rsidR="00FB275B" w:rsidRDefault="00FB275B">
    <w:pPr>
      <w:pStyle w:val="Kopfzeile"/>
      <w:spacing w:after="0" w:line="240" w:lineRule="auto"/>
      <w:jc w:val="center"/>
      <w:rPr>
        <w:b/>
        <w:sz w:val="20"/>
        <w:lang w:val="de-DE"/>
      </w:rPr>
    </w:pPr>
    <w:r>
      <w:rPr>
        <w:b/>
        <w:sz w:val="20"/>
      </w:rPr>
      <w:t>IMMOBILIEN – SONDERVERMÖGEN</w:t>
    </w:r>
  </w:p>
  <w:p w14:paraId="2C124DD2" w14:textId="77777777" w:rsidR="00FB275B" w:rsidRPr="008F6E93" w:rsidRDefault="00FB275B">
    <w:pPr>
      <w:pStyle w:val="Kopfzeile"/>
      <w:spacing w:after="0" w:line="240" w:lineRule="auto"/>
      <w:jc w:val="center"/>
      <w:rPr>
        <w:b/>
        <w:sz w:val="20"/>
        <w:lang w:val="de-DE"/>
      </w:rPr>
    </w:pPr>
  </w:p>
  <w:p w14:paraId="554031F4" w14:textId="77777777" w:rsidR="00FB275B" w:rsidRDefault="00FB275B">
    <w:pPr>
      <w:pStyle w:val="Kopfzeile"/>
      <w:spacing w:after="0" w:line="240" w:lineRule="auto"/>
      <w:jc w:val="center"/>
      <w:rPr>
        <w:b/>
        <w:sz w:val="20"/>
      </w:rPr>
    </w:pPr>
  </w:p>
  <w:p w14:paraId="32FAEB86" w14:textId="546815AB" w:rsidR="00FB275B" w:rsidRPr="00CB7C91" w:rsidRDefault="00FB275B" w:rsidP="00CB7C91">
    <w:pPr>
      <w:pStyle w:val="Kopfzeile"/>
      <w:spacing w:after="0" w:line="240" w:lineRule="auto"/>
      <w:jc w:val="center"/>
      <w:rPr>
        <w:b/>
        <w:sz w:val="20"/>
        <w:lang w:val="de-DE"/>
      </w:rPr>
    </w:pPr>
    <w:r>
      <w:rPr>
        <w:b/>
        <w:sz w:val="20"/>
      </w:rPr>
      <w:t>Stand:</w:t>
    </w:r>
    <w:r>
      <w:rPr>
        <w:b/>
        <w:sz w:val="20"/>
        <w:lang w:val="de-DE"/>
      </w:rPr>
      <w:t xml:space="preserve"> </w:t>
    </w:r>
    <w:r w:rsidR="00FE7E7C">
      <w:rPr>
        <w:b/>
        <w:sz w:val="20"/>
        <w:lang w:val="de-DE"/>
      </w:rPr>
      <w:t>Oktober</w:t>
    </w:r>
    <w:r w:rsidR="000D3933">
      <w:rPr>
        <w:b/>
        <w:sz w:val="20"/>
        <w:lang w:val="de-DE"/>
      </w:rPr>
      <w:t xml:space="preserve"> 2024</w:t>
    </w:r>
  </w:p>
  <w:p w14:paraId="5F2A371D" w14:textId="77777777" w:rsidR="00FB275B" w:rsidRPr="00EC2DDC" w:rsidRDefault="00FB275B">
    <w:pPr>
      <w:pStyle w:val="Kopfzeile"/>
      <w:spacing w:after="0" w:line="240" w:lineRule="auto"/>
      <w:jc w:val="center"/>
      <w:rPr>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4FC5" w14:textId="77777777" w:rsidR="00FB275B" w:rsidRDefault="00FB275B">
    <w:pPr>
      <w:pStyle w:val="Kopfzeile"/>
    </w:pPr>
  </w:p>
  <w:p w14:paraId="4AF8F3C2" w14:textId="77777777" w:rsidR="00FB275B" w:rsidRDefault="00FB275B"/>
  <w:p w14:paraId="4BAC4659" w14:textId="77777777" w:rsidR="00FB275B" w:rsidRDefault="00FB275B"/>
  <w:p w14:paraId="2B139B40" w14:textId="77777777" w:rsidR="00FB275B" w:rsidRDefault="00FB27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17B0" w14:textId="77777777" w:rsidR="00FB275B" w:rsidRDefault="00FB275B">
    <w:pPr>
      <w:pStyle w:val="Kopfzeile"/>
      <w:spacing w:after="0" w:line="240" w:lineRule="auto"/>
      <w:jc w:val="center"/>
      <w:rPr>
        <w:b/>
        <w:sz w:val="12"/>
      </w:rPr>
    </w:pPr>
  </w:p>
  <w:p w14:paraId="6EC57A8D" w14:textId="77777777" w:rsidR="00FB275B" w:rsidRDefault="00FB275B">
    <w:pPr>
      <w:pStyle w:val="Kopfzeile"/>
      <w:spacing w:after="0" w:line="240" w:lineRule="auto"/>
      <w:jc w:val="center"/>
      <w:rPr>
        <w:b/>
        <w:sz w:val="16"/>
      </w:rPr>
    </w:pPr>
    <w:r>
      <w:rPr>
        <w:b/>
        <w:sz w:val="16"/>
      </w:rPr>
      <w:t>Allgemeine Anlagebedingungen für ein</w:t>
    </w:r>
  </w:p>
  <w:p w14:paraId="28FB553B" w14:textId="431D62B0" w:rsidR="00B6512A" w:rsidRDefault="00FB275B">
    <w:pPr>
      <w:pStyle w:val="Kopfzeile"/>
      <w:spacing w:after="0" w:line="240" w:lineRule="auto"/>
      <w:jc w:val="center"/>
      <w:rPr>
        <w:b/>
        <w:sz w:val="16"/>
      </w:rPr>
    </w:pPr>
    <w:r>
      <w:rPr>
        <w:b/>
        <w:sz w:val="16"/>
      </w:rPr>
      <w:t>IMMOBILIEN – SONDERVERMÖGEN</w:t>
    </w:r>
  </w:p>
  <w:p w14:paraId="595FCDEF" w14:textId="77777777" w:rsidR="00870D37" w:rsidRDefault="00870D37">
    <w:pPr>
      <w:pStyle w:val="Kopfzeile"/>
      <w:spacing w:after="0" w:line="240" w:lineRule="auto"/>
      <w:jc w:val="center"/>
      <w:rPr>
        <w:b/>
        <w:sz w:val="16"/>
        <w:lang w:val="de-DE"/>
      </w:rPr>
    </w:pPr>
  </w:p>
  <w:p w14:paraId="4D018263" w14:textId="74F990F1" w:rsidR="00FB275B" w:rsidRPr="00400D64" w:rsidRDefault="00FB275B" w:rsidP="005B7B2C">
    <w:pPr>
      <w:pStyle w:val="Kopfzeile"/>
      <w:tabs>
        <w:tab w:val="center" w:pos="3968"/>
        <w:tab w:val="left" w:pos="7110"/>
      </w:tabs>
      <w:spacing w:after="0" w:line="240" w:lineRule="auto"/>
      <w:jc w:val="center"/>
      <w:rPr>
        <w:b/>
        <w:strike/>
        <w:sz w:val="16"/>
      </w:rPr>
    </w:pPr>
    <w:r>
      <w:rPr>
        <w:b/>
        <w:sz w:val="16"/>
      </w:rPr>
      <w:t xml:space="preserve">Stand: </w:t>
    </w:r>
    <w:r w:rsidR="00FE7E7C">
      <w:rPr>
        <w:b/>
        <w:sz w:val="16"/>
        <w:lang w:val="de-DE"/>
      </w:rPr>
      <w:t>Oktober</w:t>
    </w:r>
    <w:r w:rsidR="0069569F">
      <w:rPr>
        <w:b/>
        <w:sz w:val="16"/>
        <w:lang w:val="de-DE"/>
      </w:rPr>
      <w:t xml:space="preserve"> 2024</w:t>
    </w:r>
  </w:p>
  <w:p w14:paraId="4DF3F485" w14:textId="28A66C14" w:rsidR="00FB275B" w:rsidRPr="001A6FA7" w:rsidRDefault="00FB275B">
    <w:pPr>
      <w:pStyle w:val="Kopfzeile"/>
      <w:spacing w:after="0" w:line="240" w:lineRule="auto"/>
      <w:jc w:val="center"/>
      <w:rPr>
        <w:b/>
        <w:sz w:val="14"/>
        <w:lang w:val="de-DE"/>
      </w:rPr>
    </w:pPr>
  </w:p>
  <w:p w14:paraId="22F86304" w14:textId="77777777" w:rsidR="00FB275B" w:rsidRDefault="00FB275B">
    <w:pPr>
      <w:pStyle w:val="Kopfzeile"/>
      <w:spacing w:after="0" w:line="240" w:lineRule="auto"/>
      <w:jc w:val="center"/>
      <w:rPr>
        <w:b/>
        <w:sz w:val="18"/>
      </w:rPr>
    </w:pPr>
  </w:p>
  <w:p w14:paraId="2DFB5BFB" w14:textId="77777777" w:rsidR="00FB275B" w:rsidRDefault="00FB275B">
    <w:pPr>
      <w:pStyle w:val="Kopfzeile"/>
      <w:spacing w:after="0" w:line="240" w:lineRule="auto"/>
      <w:jc w:val="center"/>
      <w:rPr>
        <w:b/>
        <w:sz w:val="18"/>
      </w:rPr>
    </w:pPr>
  </w:p>
  <w:p w14:paraId="1F04899F" w14:textId="77777777" w:rsidR="00FB275B" w:rsidRDefault="00FB275B">
    <w:pPr>
      <w:pStyle w:val="Kopfzeile"/>
      <w:spacing w:after="0" w:line="240" w:lineRule="auto"/>
      <w:jc w:val="center"/>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854F" w14:textId="77777777" w:rsidR="00FB275B" w:rsidRDefault="00FB27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94A"/>
    <w:multiLevelType w:val="singleLevel"/>
    <w:tmpl w:val="A306AB9E"/>
    <w:lvl w:ilvl="0">
      <w:start w:val="6"/>
      <w:numFmt w:val="bullet"/>
      <w:lvlText w:val="-"/>
      <w:lvlJc w:val="left"/>
      <w:pPr>
        <w:tabs>
          <w:tab w:val="num" w:pos="705"/>
        </w:tabs>
        <w:ind w:left="705" w:hanging="705"/>
      </w:pPr>
      <w:rPr>
        <w:rFonts w:ascii="Times New Roman" w:hAnsi="Times New Roman" w:hint="default"/>
      </w:rPr>
    </w:lvl>
  </w:abstractNum>
  <w:abstractNum w:abstractNumId="1" w15:restartNumberingAfterBreak="0">
    <w:nsid w:val="07AB69DA"/>
    <w:multiLevelType w:val="hybridMultilevel"/>
    <w:tmpl w:val="33C0D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E85297"/>
    <w:multiLevelType w:val="multilevel"/>
    <w:tmpl w:val="73564AA6"/>
    <w:lvl w:ilvl="0">
      <w:start w:val="1"/>
      <w:numFmt w:val="decimal"/>
      <w:lvlRestart w:val="0"/>
      <w:pStyle w:val="ArtikelBezeichner"/>
      <w:suff w:val="nothing"/>
      <w:lvlText w:val="Artikel %1"/>
      <w:lvlJc w:val="left"/>
      <w:pPr>
        <w:ind w:left="8233" w:hanging="720"/>
      </w:pPr>
    </w:lvl>
    <w:lvl w:ilvl="1">
      <w:start w:val="1"/>
      <w:numFmt w:val="decimal"/>
      <w:pStyle w:val="ParagraphBezeichner"/>
      <w:suff w:val="nothing"/>
      <w:lvlText w:val="§ %2"/>
      <w:lvlJc w:val="left"/>
      <w:pPr>
        <w:tabs>
          <w:tab w:val="num" w:pos="4395"/>
        </w:tabs>
        <w:ind w:left="4395" w:firstLine="0"/>
      </w:pPr>
    </w:lvl>
    <w:lvl w:ilvl="2">
      <w:start w:val="1"/>
      <w:numFmt w:val="decimal"/>
      <w:pStyle w:val="JuristischerAbsatznummeriert"/>
      <w:lvlText w:val="(%3)"/>
      <w:lvlJc w:val="left"/>
      <w:pPr>
        <w:tabs>
          <w:tab w:val="num" w:pos="1702"/>
        </w:tabs>
        <w:ind w:left="852" w:firstLine="425"/>
      </w:pPr>
      <w:rPr>
        <w:vertAlign w:val="baseline"/>
      </w:rPr>
    </w:lvl>
    <w:lvl w:ilvl="3">
      <w:start w:val="1"/>
      <w:numFmt w:val="decimal"/>
      <w:pStyle w:val="NummerierungStufe1"/>
      <w:lvlText w:val="%4."/>
      <w:lvlJc w:val="left"/>
      <w:pPr>
        <w:tabs>
          <w:tab w:val="num" w:pos="1985"/>
        </w:tabs>
        <w:ind w:left="198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C51587"/>
    <w:multiLevelType w:val="hybridMultilevel"/>
    <w:tmpl w:val="13F63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2A703E"/>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42963648"/>
    <w:multiLevelType w:val="hybridMultilevel"/>
    <w:tmpl w:val="AAE0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751915"/>
    <w:multiLevelType w:val="hybridMultilevel"/>
    <w:tmpl w:val="E9DC49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E14FD3"/>
    <w:multiLevelType w:val="hybridMultilevel"/>
    <w:tmpl w:val="430A4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D055A"/>
    <w:multiLevelType w:val="hybridMultilevel"/>
    <w:tmpl w:val="DB1417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910653"/>
    <w:multiLevelType w:val="multilevel"/>
    <w:tmpl w:val="002AA7C8"/>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pPr>
        <w:ind w:left="0" w:firstLine="0"/>
      </w:pPr>
      <w:rPr>
        <w:rFonts w:hint="default"/>
      </w:rPr>
    </w:lvl>
    <w:lvl w:ilvl="2">
      <w:start w:val="2"/>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2850D2F"/>
    <w:multiLevelType w:val="hybridMultilevel"/>
    <w:tmpl w:val="D068B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534899"/>
    <w:multiLevelType w:val="singleLevel"/>
    <w:tmpl w:val="4D0C2DDE"/>
    <w:lvl w:ilvl="0">
      <w:start w:val="2"/>
      <w:numFmt w:val="lowerLetter"/>
      <w:lvlText w:val="%1)"/>
      <w:lvlJc w:val="left"/>
      <w:pPr>
        <w:tabs>
          <w:tab w:val="num" w:pos="360"/>
        </w:tabs>
        <w:ind w:left="360" w:hanging="360"/>
      </w:pPr>
      <w:rPr>
        <w:rFonts w:hint="default"/>
      </w:rPr>
    </w:lvl>
  </w:abstractNum>
  <w:abstractNum w:abstractNumId="12" w15:restartNumberingAfterBreak="0">
    <w:nsid w:val="6FE321A4"/>
    <w:multiLevelType w:val="hybridMultilevel"/>
    <w:tmpl w:val="5A34D1DE"/>
    <w:lvl w:ilvl="0" w:tplc="FD9E4206">
      <w:start w:val="1"/>
      <w:numFmt w:val="decimal"/>
      <w:lvlText w:val="%1."/>
      <w:lvlJc w:val="left"/>
      <w:pPr>
        <w:ind w:left="1095" w:hanging="7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7B74B3"/>
    <w:multiLevelType w:val="hybridMultilevel"/>
    <w:tmpl w:val="92729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9C5242"/>
    <w:multiLevelType w:val="singleLevel"/>
    <w:tmpl w:val="04070017"/>
    <w:lvl w:ilvl="0">
      <w:start w:val="1"/>
      <w:numFmt w:val="lowerLetter"/>
      <w:lvlText w:val="%1)"/>
      <w:lvlJc w:val="left"/>
      <w:pPr>
        <w:tabs>
          <w:tab w:val="num" w:pos="360"/>
        </w:tabs>
        <w:ind w:left="360" w:hanging="360"/>
      </w:pPr>
      <w:rPr>
        <w:rFonts w:hint="default"/>
      </w:rPr>
    </w:lvl>
  </w:abstractNum>
  <w:abstractNum w:abstractNumId="15" w15:restartNumberingAfterBreak="0">
    <w:nsid w:val="79C019CD"/>
    <w:multiLevelType w:val="singleLevel"/>
    <w:tmpl w:val="04070017"/>
    <w:lvl w:ilvl="0">
      <w:start w:val="1"/>
      <w:numFmt w:val="lowerLetter"/>
      <w:lvlText w:val="%1)"/>
      <w:lvlJc w:val="left"/>
      <w:pPr>
        <w:tabs>
          <w:tab w:val="num" w:pos="360"/>
        </w:tabs>
        <w:ind w:left="360" w:hanging="360"/>
      </w:pPr>
      <w:rPr>
        <w:rFonts w:hint="default"/>
      </w:rPr>
    </w:lvl>
  </w:abstractNum>
  <w:num w:numId="1" w16cid:durableId="604114329">
    <w:abstractNumId w:val="15"/>
  </w:num>
  <w:num w:numId="2" w16cid:durableId="993024826">
    <w:abstractNumId w:val="14"/>
  </w:num>
  <w:num w:numId="3" w16cid:durableId="52431253">
    <w:abstractNumId w:val="0"/>
  </w:num>
  <w:num w:numId="4" w16cid:durableId="873660948">
    <w:abstractNumId w:val="4"/>
  </w:num>
  <w:num w:numId="5" w16cid:durableId="2132280940">
    <w:abstractNumId w:val="11"/>
  </w:num>
  <w:num w:numId="6" w16cid:durableId="2437369">
    <w:abstractNumId w:val="13"/>
  </w:num>
  <w:num w:numId="7" w16cid:durableId="268435991">
    <w:abstractNumId w:val="6"/>
  </w:num>
  <w:num w:numId="8" w16cid:durableId="1022392872">
    <w:abstractNumId w:val="1"/>
  </w:num>
  <w:num w:numId="9" w16cid:durableId="1620409443">
    <w:abstractNumId w:val="7"/>
  </w:num>
  <w:num w:numId="10" w16cid:durableId="516962089">
    <w:abstractNumId w:val="8"/>
  </w:num>
  <w:num w:numId="11" w16cid:durableId="1841964451">
    <w:abstractNumId w:val="5"/>
  </w:num>
  <w:num w:numId="12" w16cid:durableId="1292126087">
    <w:abstractNumId w:val="10"/>
  </w:num>
  <w:num w:numId="13" w16cid:durableId="604655250">
    <w:abstractNumId w:val="3"/>
  </w:num>
  <w:num w:numId="14" w16cid:durableId="2056157129">
    <w:abstractNumId w:val="12"/>
  </w:num>
  <w:num w:numId="15" w16cid:durableId="990060219">
    <w:abstractNumId w:val="2"/>
  </w:num>
  <w:num w:numId="16" w16cid:durableId="135916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721208">
    <w:abstractNumId w:val="9"/>
  </w:num>
  <w:num w:numId="18" w16cid:durableId="809008682">
    <w:abstractNumId w:val="9"/>
  </w:num>
  <w:num w:numId="19" w16cid:durableId="793253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2E"/>
    <w:rsid w:val="00002A09"/>
    <w:rsid w:val="000033F7"/>
    <w:rsid w:val="0000413C"/>
    <w:rsid w:val="00004F1B"/>
    <w:rsid w:val="000070D6"/>
    <w:rsid w:val="000101B5"/>
    <w:rsid w:val="00010B9D"/>
    <w:rsid w:val="000128DB"/>
    <w:rsid w:val="0001290D"/>
    <w:rsid w:val="0001597A"/>
    <w:rsid w:val="000163A9"/>
    <w:rsid w:val="00016AE5"/>
    <w:rsid w:val="00024C29"/>
    <w:rsid w:val="000269A6"/>
    <w:rsid w:val="000278B4"/>
    <w:rsid w:val="00031033"/>
    <w:rsid w:val="00032265"/>
    <w:rsid w:val="00033EEC"/>
    <w:rsid w:val="00035B0D"/>
    <w:rsid w:val="00042EDB"/>
    <w:rsid w:val="0004476E"/>
    <w:rsid w:val="00045026"/>
    <w:rsid w:val="00046485"/>
    <w:rsid w:val="000503DD"/>
    <w:rsid w:val="0005196D"/>
    <w:rsid w:val="00054289"/>
    <w:rsid w:val="00055253"/>
    <w:rsid w:val="000615C4"/>
    <w:rsid w:val="000650B4"/>
    <w:rsid w:val="000658D5"/>
    <w:rsid w:val="0007168E"/>
    <w:rsid w:val="000717C4"/>
    <w:rsid w:val="00072792"/>
    <w:rsid w:val="000759E3"/>
    <w:rsid w:val="0008032B"/>
    <w:rsid w:val="00085096"/>
    <w:rsid w:val="00086334"/>
    <w:rsid w:val="00086564"/>
    <w:rsid w:val="00087502"/>
    <w:rsid w:val="0009234E"/>
    <w:rsid w:val="0009333F"/>
    <w:rsid w:val="00096D86"/>
    <w:rsid w:val="000A2FE8"/>
    <w:rsid w:val="000A74B0"/>
    <w:rsid w:val="000C0AD2"/>
    <w:rsid w:val="000C13A6"/>
    <w:rsid w:val="000C2880"/>
    <w:rsid w:val="000C3A73"/>
    <w:rsid w:val="000C502B"/>
    <w:rsid w:val="000C76EA"/>
    <w:rsid w:val="000D0604"/>
    <w:rsid w:val="000D07C2"/>
    <w:rsid w:val="000D0DBD"/>
    <w:rsid w:val="000D3933"/>
    <w:rsid w:val="000D57E4"/>
    <w:rsid w:val="000D706D"/>
    <w:rsid w:val="000D71C1"/>
    <w:rsid w:val="000D7E86"/>
    <w:rsid w:val="000E0625"/>
    <w:rsid w:val="000E4703"/>
    <w:rsid w:val="000E654E"/>
    <w:rsid w:val="000E706D"/>
    <w:rsid w:val="000F08A5"/>
    <w:rsid w:val="000F0AF7"/>
    <w:rsid w:val="000F1FD3"/>
    <w:rsid w:val="000F300A"/>
    <w:rsid w:val="000F4196"/>
    <w:rsid w:val="00102215"/>
    <w:rsid w:val="001032F1"/>
    <w:rsid w:val="00104DE7"/>
    <w:rsid w:val="00105533"/>
    <w:rsid w:val="001127E5"/>
    <w:rsid w:val="00112F77"/>
    <w:rsid w:val="00125910"/>
    <w:rsid w:val="00126F06"/>
    <w:rsid w:val="00130483"/>
    <w:rsid w:val="001354B2"/>
    <w:rsid w:val="0013552A"/>
    <w:rsid w:val="001367FA"/>
    <w:rsid w:val="00137A95"/>
    <w:rsid w:val="00140327"/>
    <w:rsid w:val="001404E2"/>
    <w:rsid w:val="0014148F"/>
    <w:rsid w:val="0014219F"/>
    <w:rsid w:val="00154165"/>
    <w:rsid w:val="00155473"/>
    <w:rsid w:val="00157426"/>
    <w:rsid w:val="0015781E"/>
    <w:rsid w:val="00165134"/>
    <w:rsid w:val="00165DE1"/>
    <w:rsid w:val="00170E20"/>
    <w:rsid w:val="00172C4F"/>
    <w:rsid w:val="00172EAA"/>
    <w:rsid w:val="001760FB"/>
    <w:rsid w:val="00176A62"/>
    <w:rsid w:val="00177758"/>
    <w:rsid w:val="00180746"/>
    <w:rsid w:val="0018358D"/>
    <w:rsid w:val="00183D1D"/>
    <w:rsid w:val="00185F40"/>
    <w:rsid w:val="00186333"/>
    <w:rsid w:val="001867FD"/>
    <w:rsid w:val="00193059"/>
    <w:rsid w:val="00193146"/>
    <w:rsid w:val="001947F1"/>
    <w:rsid w:val="00194E81"/>
    <w:rsid w:val="001A6C63"/>
    <w:rsid w:val="001A6FA7"/>
    <w:rsid w:val="001A70BC"/>
    <w:rsid w:val="001A75B6"/>
    <w:rsid w:val="001B248B"/>
    <w:rsid w:val="001B473B"/>
    <w:rsid w:val="001B4A44"/>
    <w:rsid w:val="001B53D4"/>
    <w:rsid w:val="001C0144"/>
    <w:rsid w:val="001C0D59"/>
    <w:rsid w:val="001C3E8D"/>
    <w:rsid w:val="001C6404"/>
    <w:rsid w:val="001C7416"/>
    <w:rsid w:val="001D0226"/>
    <w:rsid w:val="001D276F"/>
    <w:rsid w:val="001D4BB8"/>
    <w:rsid w:val="001D53C3"/>
    <w:rsid w:val="001D7F22"/>
    <w:rsid w:val="001E06B7"/>
    <w:rsid w:val="001E131A"/>
    <w:rsid w:val="001E16D2"/>
    <w:rsid w:val="001E3C43"/>
    <w:rsid w:val="001E475E"/>
    <w:rsid w:val="001F0FAE"/>
    <w:rsid w:val="001F7349"/>
    <w:rsid w:val="00200B8C"/>
    <w:rsid w:val="00202E7B"/>
    <w:rsid w:val="002052F3"/>
    <w:rsid w:val="00206C4A"/>
    <w:rsid w:val="00207C2D"/>
    <w:rsid w:val="00207C5F"/>
    <w:rsid w:val="0021053E"/>
    <w:rsid w:val="00212921"/>
    <w:rsid w:val="0021783D"/>
    <w:rsid w:val="00224C4B"/>
    <w:rsid w:val="00224E0E"/>
    <w:rsid w:val="00225585"/>
    <w:rsid w:val="0022607B"/>
    <w:rsid w:val="00227E05"/>
    <w:rsid w:val="0023040E"/>
    <w:rsid w:val="002316DB"/>
    <w:rsid w:val="00240C6B"/>
    <w:rsid w:val="00247A20"/>
    <w:rsid w:val="00253F6D"/>
    <w:rsid w:val="002563E5"/>
    <w:rsid w:val="00256422"/>
    <w:rsid w:val="00257914"/>
    <w:rsid w:val="00260A0C"/>
    <w:rsid w:val="002634A9"/>
    <w:rsid w:val="00267D7F"/>
    <w:rsid w:val="00267FF3"/>
    <w:rsid w:val="00271A93"/>
    <w:rsid w:val="00275EF5"/>
    <w:rsid w:val="00276544"/>
    <w:rsid w:val="0027755B"/>
    <w:rsid w:val="002842C9"/>
    <w:rsid w:val="00284BBF"/>
    <w:rsid w:val="00287843"/>
    <w:rsid w:val="00287EFB"/>
    <w:rsid w:val="00294561"/>
    <w:rsid w:val="00297A01"/>
    <w:rsid w:val="002A03AF"/>
    <w:rsid w:val="002A0A66"/>
    <w:rsid w:val="002A2AC0"/>
    <w:rsid w:val="002A396E"/>
    <w:rsid w:val="002A618F"/>
    <w:rsid w:val="002B3734"/>
    <w:rsid w:val="002B489B"/>
    <w:rsid w:val="002B56B6"/>
    <w:rsid w:val="002B7028"/>
    <w:rsid w:val="002B73E4"/>
    <w:rsid w:val="002C046B"/>
    <w:rsid w:val="002C4BC0"/>
    <w:rsid w:val="002D618A"/>
    <w:rsid w:val="002E073B"/>
    <w:rsid w:val="002E0CD5"/>
    <w:rsid w:val="002E3DE2"/>
    <w:rsid w:val="002E660A"/>
    <w:rsid w:val="002E7B10"/>
    <w:rsid w:val="002F2D0A"/>
    <w:rsid w:val="002F521D"/>
    <w:rsid w:val="002F6BDE"/>
    <w:rsid w:val="00301A2A"/>
    <w:rsid w:val="00302A72"/>
    <w:rsid w:val="00310993"/>
    <w:rsid w:val="00311899"/>
    <w:rsid w:val="00313313"/>
    <w:rsid w:val="00317B7D"/>
    <w:rsid w:val="0032022E"/>
    <w:rsid w:val="0032145A"/>
    <w:rsid w:val="003227B4"/>
    <w:rsid w:val="0032391F"/>
    <w:rsid w:val="003269DA"/>
    <w:rsid w:val="00330C66"/>
    <w:rsid w:val="00331329"/>
    <w:rsid w:val="00336328"/>
    <w:rsid w:val="00337F38"/>
    <w:rsid w:val="00342A8F"/>
    <w:rsid w:val="003504EB"/>
    <w:rsid w:val="003505AB"/>
    <w:rsid w:val="0035062E"/>
    <w:rsid w:val="00355286"/>
    <w:rsid w:val="003579B3"/>
    <w:rsid w:val="00360E48"/>
    <w:rsid w:val="00361128"/>
    <w:rsid w:val="0037166A"/>
    <w:rsid w:val="00384CAD"/>
    <w:rsid w:val="003857D0"/>
    <w:rsid w:val="00386C6A"/>
    <w:rsid w:val="00386E6C"/>
    <w:rsid w:val="00391368"/>
    <w:rsid w:val="00395904"/>
    <w:rsid w:val="00397547"/>
    <w:rsid w:val="003A2D47"/>
    <w:rsid w:val="003A3C2A"/>
    <w:rsid w:val="003A62AD"/>
    <w:rsid w:val="003A6E8B"/>
    <w:rsid w:val="003A7BDF"/>
    <w:rsid w:val="003B1A89"/>
    <w:rsid w:val="003B4D0B"/>
    <w:rsid w:val="003B5251"/>
    <w:rsid w:val="003B650B"/>
    <w:rsid w:val="003B7CA9"/>
    <w:rsid w:val="003C1BF4"/>
    <w:rsid w:val="003C2355"/>
    <w:rsid w:val="003C32F8"/>
    <w:rsid w:val="003C34DA"/>
    <w:rsid w:val="003C6943"/>
    <w:rsid w:val="003C6947"/>
    <w:rsid w:val="003C6A50"/>
    <w:rsid w:val="003D2896"/>
    <w:rsid w:val="003D2AAE"/>
    <w:rsid w:val="003D4469"/>
    <w:rsid w:val="003D4649"/>
    <w:rsid w:val="003D6374"/>
    <w:rsid w:val="003E3F85"/>
    <w:rsid w:val="003E516D"/>
    <w:rsid w:val="003E5776"/>
    <w:rsid w:val="003E6232"/>
    <w:rsid w:val="003E7277"/>
    <w:rsid w:val="003E7AFB"/>
    <w:rsid w:val="003F108F"/>
    <w:rsid w:val="003F2FA8"/>
    <w:rsid w:val="003F715B"/>
    <w:rsid w:val="00400D64"/>
    <w:rsid w:val="00401827"/>
    <w:rsid w:val="00402B53"/>
    <w:rsid w:val="0040352B"/>
    <w:rsid w:val="004035F0"/>
    <w:rsid w:val="00412C30"/>
    <w:rsid w:val="00414820"/>
    <w:rsid w:val="004241C1"/>
    <w:rsid w:val="00424638"/>
    <w:rsid w:val="00424A85"/>
    <w:rsid w:val="0043176E"/>
    <w:rsid w:val="0043296B"/>
    <w:rsid w:val="00432A1A"/>
    <w:rsid w:val="00435DA8"/>
    <w:rsid w:val="00437C78"/>
    <w:rsid w:val="0044382B"/>
    <w:rsid w:val="0044440F"/>
    <w:rsid w:val="004470C4"/>
    <w:rsid w:val="00460CA3"/>
    <w:rsid w:val="00463C28"/>
    <w:rsid w:val="00464146"/>
    <w:rsid w:val="00464641"/>
    <w:rsid w:val="00465B62"/>
    <w:rsid w:val="00470C94"/>
    <w:rsid w:val="00481A64"/>
    <w:rsid w:val="004870EF"/>
    <w:rsid w:val="004964E6"/>
    <w:rsid w:val="004A16FC"/>
    <w:rsid w:val="004A210F"/>
    <w:rsid w:val="004A30FC"/>
    <w:rsid w:val="004A5AEB"/>
    <w:rsid w:val="004A5F2A"/>
    <w:rsid w:val="004A6643"/>
    <w:rsid w:val="004B0E0D"/>
    <w:rsid w:val="004B29CB"/>
    <w:rsid w:val="004B2BC5"/>
    <w:rsid w:val="004B4057"/>
    <w:rsid w:val="004B7DA6"/>
    <w:rsid w:val="004C01C9"/>
    <w:rsid w:val="004C0B4A"/>
    <w:rsid w:val="004C1A45"/>
    <w:rsid w:val="004C4E29"/>
    <w:rsid w:val="004D0EDA"/>
    <w:rsid w:val="004D387B"/>
    <w:rsid w:val="004E4292"/>
    <w:rsid w:val="004F116B"/>
    <w:rsid w:val="004F2CFA"/>
    <w:rsid w:val="004F3570"/>
    <w:rsid w:val="004F4EB3"/>
    <w:rsid w:val="00505C8E"/>
    <w:rsid w:val="00506A30"/>
    <w:rsid w:val="00521004"/>
    <w:rsid w:val="005252B4"/>
    <w:rsid w:val="005349A8"/>
    <w:rsid w:val="00534C31"/>
    <w:rsid w:val="00537141"/>
    <w:rsid w:val="005375AC"/>
    <w:rsid w:val="005442BF"/>
    <w:rsid w:val="005530D0"/>
    <w:rsid w:val="0055354F"/>
    <w:rsid w:val="005544D0"/>
    <w:rsid w:val="00556A8C"/>
    <w:rsid w:val="0056309D"/>
    <w:rsid w:val="00565B7E"/>
    <w:rsid w:val="0056739D"/>
    <w:rsid w:val="0057308A"/>
    <w:rsid w:val="005753C3"/>
    <w:rsid w:val="00576965"/>
    <w:rsid w:val="0058002E"/>
    <w:rsid w:val="005810E5"/>
    <w:rsid w:val="00590BB4"/>
    <w:rsid w:val="00590BD4"/>
    <w:rsid w:val="00592C6F"/>
    <w:rsid w:val="00592D6B"/>
    <w:rsid w:val="0059354E"/>
    <w:rsid w:val="005946C9"/>
    <w:rsid w:val="00594857"/>
    <w:rsid w:val="005A0D97"/>
    <w:rsid w:val="005A7679"/>
    <w:rsid w:val="005B1DA4"/>
    <w:rsid w:val="005B516E"/>
    <w:rsid w:val="005B54A5"/>
    <w:rsid w:val="005B7B2C"/>
    <w:rsid w:val="005D091A"/>
    <w:rsid w:val="005D1DAA"/>
    <w:rsid w:val="005D4BFD"/>
    <w:rsid w:val="005E1856"/>
    <w:rsid w:val="005E29FA"/>
    <w:rsid w:val="005E2ACE"/>
    <w:rsid w:val="005E4543"/>
    <w:rsid w:val="005F5ED1"/>
    <w:rsid w:val="005F63FB"/>
    <w:rsid w:val="005F7004"/>
    <w:rsid w:val="005F7E4A"/>
    <w:rsid w:val="00600667"/>
    <w:rsid w:val="00601943"/>
    <w:rsid w:val="0060224C"/>
    <w:rsid w:val="00603B13"/>
    <w:rsid w:val="0060681C"/>
    <w:rsid w:val="00610454"/>
    <w:rsid w:val="00610CDF"/>
    <w:rsid w:val="006142CE"/>
    <w:rsid w:val="00614429"/>
    <w:rsid w:val="00615AB0"/>
    <w:rsid w:val="00620F36"/>
    <w:rsid w:val="006234BF"/>
    <w:rsid w:val="0063494A"/>
    <w:rsid w:val="0064214B"/>
    <w:rsid w:val="0064323E"/>
    <w:rsid w:val="00643444"/>
    <w:rsid w:val="00643FF6"/>
    <w:rsid w:val="0065271A"/>
    <w:rsid w:val="006533FA"/>
    <w:rsid w:val="006567CF"/>
    <w:rsid w:val="006618E3"/>
    <w:rsid w:val="006657E3"/>
    <w:rsid w:val="00666244"/>
    <w:rsid w:val="006717DB"/>
    <w:rsid w:val="006727CE"/>
    <w:rsid w:val="00673B52"/>
    <w:rsid w:val="00673FAA"/>
    <w:rsid w:val="00682439"/>
    <w:rsid w:val="00683919"/>
    <w:rsid w:val="006846BB"/>
    <w:rsid w:val="00686F0E"/>
    <w:rsid w:val="006902F1"/>
    <w:rsid w:val="0069163A"/>
    <w:rsid w:val="00691A21"/>
    <w:rsid w:val="00691D60"/>
    <w:rsid w:val="006943D8"/>
    <w:rsid w:val="00694C22"/>
    <w:rsid w:val="00694ED4"/>
    <w:rsid w:val="0069569F"/>
    <w:rsid w:val="0069643A"/>
    <w:rsid w:val="0069694F"/>
    <w:rsid w:val="006973C8"/>
    <w:rsid w:val="00697FCE"/>
    <w:rsid w:val="006A22D8"/>
    <w:rsid w:val="006A2CDC"/>
    <w:rsid w:val="006A31D3"/>
    <w:rsid w:val="006A49BC"/>
    <w:rsid w:val="006B14D6"/>
    <w:rsid w:val="006B52C5"/>
    <w:rsid w:val="006B55A5"/>
    <w:rsid w:val="006B750C"/>
    <w:rsid w:val="006B7F4D"/>
    <w:rsid w:val="006C033C"/>
    <w:rsid w:val="006C5FFD"/>
    <w:rsid w:val="006C6BDD"/>
    <w:rsid w:val="006D02A8"/>
    <w:rsid w:val="006D03B1"/>
    <w:rsid w:val="006D0A1E"/>
    <w:rsid w:val="006D70A2"/>
    <w:rsid w:val="006E12FF"/>
    <w:rsid w:val="006E25CA"/>
    <w:rsid w:val="006E3BC9"/>
    <w:rsid w:val="006E4E59"/>
    <w:rsid w:val="006F0217"/>
    <w:rsid w:val="006F516A"/>
    <w:rsid w:val="006F727B"/>
    <w:rsid w:val="00700F0D"/>
    <w:rsid w:val="00701CD1"/>
    <w:rsid w:val="00713153"/>
    <w:rsid w:val="00713573"/>
    <w:rsid w:val="00714C52"/>
    <w:rsid w:val="00715C8B"/>
    <w:rsid w:val="0071777A"/>
    <w:rsid w:val="00717E0E"/>
    <w:rsid w:val="007200F0"/>
    <w:rsid w:val="007210B5"/>
    <w:rsid w:val="00722781"/>
    <w:rsid w:val="00723F38"/>
    <w:rsid w:val="00724B8D"/>
    <w:rsid w:val="007251A4"/>
    <w:rsid w:val="007273EF"/>
    <w:rsid w:val="0073233E"/>
    <w:rsid w:val="00735ED3"/>
    <w:rsid w:val="0074085E"/>
    <w:rsid w:val="0074271C"/>
    <w:rsid w:val="007430A5"/>
    <w:rsid w:val="00743F9C"/>
    <w:rsid w:val="0074430B"/>
    <w:rsid w:val="00747882"/>
    <w:rsid w:val="00747EBC"/>
    <w:rsid w:val="007540CF"/>
    <w:rsid w:val="00763432"/>
    <w:rsid w:val="00763AFE"/>
    <w:rsid w:val="0076430B"/>
    <w:rsid w:val="00767DC9"/>
    <w:rsid w:val="00775574"/>
    <w:rsid w:val="00776458"/>
    <w:rsid w:val="007771B7"/>
    <w:rsid w:val="00784597"/>
    <w:rsid w:val="00785FA3"/>
    <w:rsid w:val="00793736"/>
    <w:rsid w:val="00796240"/>
    <w:rsid w:val="007A1349"/>
    <w:rsid w:val="007A1505"/>
    <w:rsid w:val="007A2B51"/>
    <w:rsid w:val="007A3518"/>
    <w:rsid w:val="007A552E"/>
    <w:rsid w:val="007A5B66"/>
    <w:rsid w:val="007A7C55"/>
    <w:rsid w:val="007B4235"/>
    <w:rsid w:val="007B7DCB"/>
    <w:rsid w:val="007C286A"/>
    <w:rsid w:val="007C4D58"/>
    <w:rsid w:val="007C7020"/>
    <w:rsid w:val="007C734F"/>
    <w:rsid w:val="007D4E14"/>
    <w:rsid w:val="007D591A"/>
    <w:rsid w:val="007E2196"/>
    <w:rsid w:val="007E4F5F"/>
    <w:rsid w:val="007E5D27"/>
    <w:rsid w:val="007E64E2"/>
    <w:rsid w:val="007E7001"/>
    <w:rsid w:val="007E744F"/>
    <w:rsid w:val="007F0B49"/>
    <w:rsid w:val="007F1D66"/>
    <w:rsid w:val="007F2992"/>
    <w:rsid w:val="007F37FE"/>
    <w:rsid w:val="007F58C0"/>
    <w:rsid w:val="007F70D2"/>
    <w:rsid w:val="00800239"/>
    <w:rsid w:val="00802767"/>
    <w:rsid w:val="00807987"/>
    <w:rsid w:val="0081327C"/>
    <w:rsid w:val="00814A75"/>
    <w:rsid w:val="00815ACC"/>
    <w:rsid w:val="008204AE"/>
    <w:rsid w:val="0082088C"/>
    <w:rsid w:val="008217E7"/>
    <w:rsid w:val="00821F0A"/>
    <w:rsid w:val="008231F3"/>
    <w:rsid w:val="0082372B"/>
    <w:rsid w:val="00825830"/>
    <w:rsid w:val="008264C9"/>
    <w:rsid w:val="00833888"/>
    <w:rsid w:val="00844760"/>
    <w:rsid w:val="00846760"/>
    <w:rsid w:val="00850252"/>
    <w:rsid w:val="00857EFE"/>
    <w:rsid w:val="008600F0"/>
    <w:rsid w:val="00865D80"/>
    <w:rsid w:val="008678BF"/>
    <w:rsid w:val="00870D37"/>
    <w:rsid w:val="00871A41"/>
    <w:rsid w:val="008743E9"/>
    <w:rsid w:val="00876996"/>
    <w:rsid w:val="00877B5A"/>
    <w:rsid w:val="0088251A"/>
    <w:rsid w:val="008849F8"/>
    <w:rsid w:val="008879D9"/>
    <w:rsid w:val="00887B14"/>
    <w:rsid w:val="008930E6"/>
    <w:rsid w:val="00896ADE"/>
    <w:rsid w:val="008972D4"/>
    <w:rsid w:val="008A0A79"/>
    <w:rsid w:val="008A3834"/>
    <w:rsid w:val="008A5DCD"/>
    <w:rsid w:val="008B148E"/>
    <w:rsid w:val="008B3482"/>
    <w:rsid w:val="008B5D55"/>
    <w:rsid w:val="008B5E66"/>
    <w:rsid w:val="008B6528"/>
    <w:rsid w:val="008B676E"/>
    <w:rsid w:val="008B741B"/>
    <w:rsid w:val="008C0C62"/>
    <w:rsid w:val="008C589F"/>
    <w:rsid w:val="008C5C00"/>
    <w:rsid w:val="008C782D"/>
    <w:rsid w:val="008D027F"/>
    <w:rsid w:val="008D2F97"/>
    <w:rsid w:val="008D68FF"/>
    <w:rsid w:val="008E2D9B"/>
    <w:rsid w:val="008E4443"/>
    <w:rsid w:val="008E4DEF"/>
    <w:rsid w:val="008F0CBE"/>
    <w:rsid w:val="008F1A31"/>
    <w:rsid w:val="008F35B8"/>
    <w:rsid w:val="008F38EE"/>
    <w:rsid w:val="008F4833"/>
    <w:rsid w:val="008F6E93"/>
    <w:rsid w:val="008F7DB2"/>
    <w:rsid w:val="009017DE"/>
    <w:rsid w:val="00910FE7"/>
    <w:rsid w:val="009118D4"/>
    <w:rsid w:val="00915025"/>
    <w:rsid w:val="009157FC"/>
    <w:rsid w:val="00916143"/>
    <w:rsid w:val="00925F53"/>
    <w:rsid w:val="009313B4"/>
    <w:rsid w:val="00933CBB"/>
    <w:rsid w:val="0093532E"/>
    <w:rsid w:val="009356F2"/>
    <w:rsid w:val="0093692B"/>
    <w:rsid w:val="00936D86"/>
    <w:rsid w:val="00942208"/>
    <w:rsid w:val="00944A7E"/>
    <w:rsid w:val="00946D9A"/>
    <w:rsid w:val="00950BF2"/>
    <w:rsid w:val="00952BC7"/>
    <w:rsid w:val="00952DBE"/>
    <w:rsid w:val="0095304B"/>
    <w:rsid w:val="00954BDE"/>
    <w:rsid w:val="00955755"/>
    <w:rsid w:val="00957590"/>
    <w:rsid w:val="0095760F"/>
    <w:rsid w:val="00960905"/>
    <w:rsid w:val="00960F8D"/>
    <w:rsid w:val="00961487"/>
    <w:rsid w:val="00962BB5"/>
    <w:rsid w:val="00965159"/>
    <w:rsid w:val="0096560D"/>
    <w:rsid w:val="00965BD9"/>
    <w:rsid w:val="00967834"/>
    <w:rsid w:val="00967BE7"/>
    <w:rsid w:val="00970DB3"/>
    <w:rsid w:val="00975DBE"/>
    <w:rsid w:val="00975F24"/>
    <w:rsid w:val="00982503"/>
    <w:rsid w:val="00984348"/>
    <w:rsid w:val="00984453"/>
    <w:rsid w:val="0098767A"/>
    <w:rsid w:val="0099137F"/>
    <w:rsid w:val="00992D00"/>
    <w:rsid w:val="00995AFD"/>
    <w:rsid w:val="00996541"/>
    <w:rsid w:val="009A07D5"/>
    <w:rsid w:val="009A52FF"/>
    <w:rsid w:val="009A537B"/>
    <w:rsid w:val="009A59B7"/>
    <w:rsid w:val="009A5D73"/>
    <w:rsid w:val="009B04AD"/>
    <w:rsid w:val="009B5A3C"/>
    <w:rsid w:val="009C0C5A"/>
    <w:rsid w:val="009C420B"/>
    <w:rsid w:val="009C4E9F"/>
    <w:rsid w:val="009D2168"/>
    <w:rsid w:val="009D21BC"/>
    <w:rsid w:val="009D29A1"/>
    <w:rsid w:val="009D33C1"/>
    <w:rsid w:val="009D6383"/>
    <w:rsid w:val="009D76B6"/>
    <w:rsid w:val="009E09FD"/>
    <w:rsid w:val="009E1AFB"/>
    <w:rsid w:val="009E1BFD"/>
    <w:rsid w:val="009E26D1"/>
    <w:rsid w:val="009E35F6"/>
    <w:rsid w:val="009E484D"/>
    <w:rsid w:val="009E6734"/>
    <w:rsid w:val="009F3DCB"/>
    <w:rsid w:val="009F4015"/>
    <w:rsid w:val="009F44C6"/>
    <w:rsid w:val="009F475B"/>
    <w:rsid w:val="00A00D4A"/>
    <w:rsid w:val="00A00F93"/>
    <w:rsid w:val="00A04C6C"/>
    <w:rsid w:val="00A1632E"/>
    <w:rsid w:val="00A213DD"/>
    <w:rsid w:val="00A22ABA"/>
    <w:rsid w:val="00A22FA1"/>
    <w:rsid w:val="00A23F2A"/>
    <w:rsid w:val="00A30687"/>
    <w:rsid w:val="00A31BB5"/>
    <w:rsid w:val="00A35016"/>
    <w:rsid w:val="00A35615"/>
    <w:rsid w:val="00A35D36"/>
    <w:rsid w:val="00A401E7"/>
    <w:rsid w:val="00A421E8"/>
    <w:rsid w:val="00A44E1F"/>
    <w:rsid w:val="00A455CF"/>
    <w:rsid w:val="00A471CE"/>
    <w:rsid w:val="00A47DA5"/>
    <w:rsid w:val="00A47FC3"/>
    <w:rsid w:val="00A54E74"/>
    <w:rsid w:val="00A55263"/>
    <w:rsid w:val="00A57034"/>
    <w:rsid w:val="00A62821"/>
    <w:rsid w:val="00A6327A"/>
    <w:rsid w:val="00A6559E"/>
    <w:rsid w:val="00A6606A"/>
    <w:rsid w:val="00A67F54"/>
    <w:rsid w:val="00A704A0"/>
    <w:rsid w:val="00A75410"/>
    <w:rsid w:val="00A77204"/>
    <w:rsid w:val="00A8024F"/>
    <w:rsid w:val="00A850AC"/>
    <w:rsid w:val="00A858E6"/>
    <w:rsid w:val="00A86469"/>
    <w:rsid w:val="00A87218"/>
    <w:rsid w:val="00A9231B"/>
    <w:rsid w:val="00A96D2E"/>
    <w:rsid w:val="00A9739C"/>
    <w:rsid w:val="00A9740C"/>
    <w:rsid w:val="00AB18BF"/>
    <w:rsid w:val="00AB6FEF"/>
    <w:rsid w:val="00AB7F48"/>
    <w:rsid w:val="00AC0B4B"/>
    <w:rsid w:val="00AC2FAE"/>
    <w:rsid w:val="00AC4894"/>
    <w:rsid w:val="00AC6246"/>
    <w:rsid w:val="00AC65B0"/>
    <w:rsid w:val="00AC6BE4"/>
    <w:rsid w:val="00AD139E"/>
    <w:rsid w:val="00AD3957"/>
    <w:rsid w:val="00AD440E"/>
    <w:rsid w:val="00AD58B7"/>
    <w:rsid w:val="00AD5E8E"/>
    <w:rsid w:val="00AD71BE"/>
    <w:rsid w:val="00AD7A99"/>
    <w:rsid w:val="00AD7D61"/>
    <w:rsid w:val="00AE3B92"/>
    <w:rsid w:val="00AE40AF"/>
    <w:rsid w:val="00AE4579"/>
    <w:rsid w:val="00AE53C3"/>
    <w:rsid w:val="00AE6103"/>
    <w:rsid w:val="00AE6C88"/>
    <w:rsid w:val="00AF0094"/>
    <w:rsid w:val="00AF022B"/>
    <w:rsid w:val="00AF17B0"/>
    <w:rsid w:val="00AF1D3C"/>
    <w:rsid w:val="00AF2565"/>
    <w:rsid w:val="00AF3019"/>
    <w:rsid w:val="00AF4089"/>
    <w:rsid w:val="00AF4E2E"/>
    <w:rsid w:val="00AF5FBE"/>
    <w:rsid w:val="00B01675"/>
    <w:rsid w:val="00B01928"/>
    <w:rsid w:val="00B029E4"/>
    <w:rsid w:val="00B04D32"/>
    <w:rsid w:val="00B056B3"/>
    <w:rsid w:val="00B05F2B"/>
    <w:rsid w:val="00B064D1"/>
    <w:rsid w:val="00B10496"/>
    <w:rsid w:val="00B109C7"/>
    <w:rsid w:val="00B152EC"/>
    <w:rsid w:val="00B15845"/>
    <w:rsid w:val="00B21D3E"/>
    <w:rsid w:val="00B22F06"/>
    <w:rsid w:val="00B2335C"/>
    <w:rsid w:val="00B27640"/>
    <w:rsid w:val="00B3116E"/>
    <w:rsid w:val="00B351BD"/>
    <w:rsid w:val="00B40106"/>
    <w:rsid w:val="00B41851"/>
    <w:rsid w:val="00B4257F"/>
    <w:rsid w:val="00B4539A"/>
    <w:rsid w:val="00B46082"/>
    <w:rsid w:val="00B469DA"/>
    <w:rsid w:val="00B47FBF"/>
    <w:rsid w:val="00B511E2"/>
    <w:rsid w:val="00B51664"/>
    <w:rsid w:val="00B51851"/>
    <w:rsid w:val="00B547BE"/>
    <w:rsid w:val="00B56556"/>
    <w:rsid w:val="00B57DF6"/>
    <w:rsid w:val="00B61A7B"/>
    <w:rsid w:val="00B638CD"/>
    <w:rsid w:val="00B64267"/>
    <w:rsid w:val="00B644FE"/>
    <w:rsid w:val="00B64875"/>
    <w:rsid w:val="00B6512A"/>
    <w:rsid w:val="00B779A8"/>
    <w:rsid w:val="00B90AC5"/>
    <w:rsid w:val="00B913A2"/>
    <w:rsid w:val="00B92696"/>
    <w:rsid w:val="00B92836"/>
    <w:rsid w:val="00B937D1"/>
    <w:rsid w:val="00BA64CE"/>
    <w:rsid w:val="00BA7960"/>
    <w:rsid w:val="00BA7DA8"/>
    <w:rsid w:val="00BB440C"/>
    <w:rsid w:val="00BB7397"/>
    <w:rsid w:val="00BC0FD5"/>
    <w:rsid w:val="00BC30D2"/>
    <w:rsid w:val="00BC3FB5"/>
    <w:rsid w:val="00BC5C11"/>
    <w:rsid w:val="00BD128F"/>
    <w:rsid w:val="00BD3868"/>
    <w:rsid w:val="00BD3D2A"/>
    <w:rsid w:val="00BD4AA2"/>
    <w:rsid w:val="00BD7E5E"/>
    <w:rsid w:val="00BE1149"/>
    <w:rsid w:val="00BE2188"/>
    <w:rsid w:val="00BE23BF"/>
    <w:rsid w:val="00BE36F5"/>
    <w:rsid w:val="00BF000C"/>
    <w:rsid w:val="00BF2BD9"/>
    <w:rsid w:val="00BF6F51"/>
    <w:rsid w:val="00C01B09"/>
    <w:rsid w:val="00C05315"/>
    <w:rsid w:val="00C0621E"/>
    <w:rsid w:val="00C07CDF"/>
    <w:rsid w:val="00C10502"/>
    <w:rsid w:val="00C1145A"/>
    <w:rsid w:val="00C125B9"/>
    <w:rsid w:val="00C15FC4"/>
    <w:rsid w:val="00C2125F"/>
    <w:rsid w:val="00C26A66"/>
    <w:rsid w:val="00C27431"/>
    <w:rsid w:val="00C32721"/>
    <w:rsid w:val="00C34CCD"/>
    <w:rsid w:val="00C3610C"/>
    <w:rsid w:val="00C36DD7"/>
    <w:rsid w:val="00C36E11"/>
    <w:rsid w:val="00C402C5"/>
    <w:rsid w:val="00C41106"/>
    <w:rsid w:val="00C413D6"/>
    <w:rsid w:val="00C417DC"/>
    <w:rsid w:val="00C42976"/>
    <w:rsid w:val="00C4376E"/>
    <w:rsid w:val="00C4533B"/>
    <w:rsid w:val="00C50E97"/>
    <w:rsid w:val="00C51788"/>
    <w:rsid w:val="00C53157"/>
    <w:rsid w:val="00C54172"/>
    <w:rsid w:val="00C574BF"/>
    <w:rsid w:val="00C64138"/>
    <w:rsid w:val="00C66767"/>
    <w:rsid w:val="00C670B7"/>
    <w:rsid w:val="00C67993"/>
    <w:rsid w:val="00C74F54"/>
    <w:rsid w:val="00C75F1E"/>
    <w:rsid w:val="00C80256"/>
    <w:rsid w:val="00C857FD"/>
    <w:rsid w:val="00C86BC6"/>
    <w:rsid w:val="00C96069"/>
    <w:rsid w:val="00C97FC6"/>
    <w:rsid w:val="00CA2C82"/>
    <w:rsid w:val="00CA2D74"/>
    <w:rsid w:val="00CA3C69"/>
    <w:rsid w:val="00CA62AD"/>
    <w:rsid w:val="00CB2407"/>
    <w:rsid w:val="00CB626B"/>
    <w:rsid w:val="00CB7C91"/>
    <w:rsid w:val="00CC75E8"/>
    <w:rsid w:val="00CD0229"/>
    <w:rsid w:val="00CD0697"/>
    <w:rsid w:val="00CD3A50"/>
    <w:rsid w:val="00CD4A7F"/>
    <w:rsid w:val="00CD4DAD"/>
    <w:rsid w:val="00CD73FA"/>
    <w:rsid w:val="00CD7DD9"/>
    <w:rsid w:val="00CE4692"/>
    <w:rsid w:val="00CE4F13"/>
    <w:rsid w:val="00CF1973"/>
    <w:rsid w:val="00CF27F7"/>
    <w:rsid w:val="00CF4048"/>
    <w:rsid w:val="00D0158E"/>
    <w:rsid w:val="00D01902"/>
    <w:rsid w:val="00D049DD"/>
    <w:rsid w:val="00D0678F"/>
    <w:rsid w:val="00D069AF"/>
    <w:rsid w:val="00D06F82"/>
    <w:rsid w:val="00D1191F"/>
    <w:rsid w:val="00D15A4F"/>
    <w:rsid w:val="00D16F87"/>
    <w:rsid w:val="00D2199F"/>
    <w:rsid w:val="00D2240A"/>
    <w:rsid w:val="00D23115"/>
    <w:rsid w:val="00D23A8C"/>
    <w:rsid w:val="00D23CE5"/>
    <w:rsid w:val="00D35DF8"/>
    <w:rsid w:val="00D374FB"/>
    <w:rsid w:val="00D40133"/>
    <w:rsid w:val="00D404E6"/>
    <w:rsid w:val="00D40A32"/>
    <w:rsid w:val="00D41573"/>
    <w:rsid w:val="00D4228D"/>
    <w:rsid w:val="00D43AD6"/>
    <w:rsid w:val="00D460AF"/>
    <w:rsid w:val="00D509FE"/>
    <w:rsid w:val="00D546A6"/>
    <w:rsid w:val="00D56F59"/>
    <w:rsid w:val="00D6443C"/>
    <w:rsid w:val="00D678C5"/>
    <w:rsid w:val="00D76B3B"/>
    <w:rsid w:val="00D771D1"/>
    <w:rsid w:val="00D83600"/>
    <w:rsid w:val="00D91365"/>
    <w:rsid w:val="00D96D4E"/>
    <w:rsid w:val="00D9779F"/>
    <w:rsid w:val="00D97DA2"/>
    <w:rsid w:val="00DA06D5"/>
    <w:rsid w:val="00DA1C10"/>
    <w:rsid w:val="00DA316C"/>
    <w:rsid w:val="00DA6052"/>
    <w:rsid w:val="00DB2560"/>
    <w:rsid w:val="00DB40D3"/>
    <w:rsid w:val="00DB6ACE"/>
    <w:rsid w:val="00DB734B"/>
    <w:rsid w:val="00DC0EE2"/>
    <w:rsid w:val="00DC4328"/>
    <w:rsid w:val="00DC591D"/>
    <w:rsid w:val="00DD202F"/>
    <w:rsid w:val="00DD4820"/>
    <w:rsid w:val="00DE0E9E"/>
    <w:rsid w:val="00DE5781"/>
    <w:rsid w:val="00DE66A7"/>
    <w:rsid w:val="00DE7A89"/>
    <w:rsid w:val="00DF0866"/>
    <w:rsid w:val="00DF1DE7"/>
    <w:rsid w:val="00DF5BF2"/>
    <w:rsid w:val="00DF5EFB"/>
    <w:rsid w:val="00E03CDE"/>
    <w:rsid w:val="00E05C2E"/>
    <w:rsid w:val="00E102B0"/>
    <w:rsid w:val="00E10E41"/>
    <w:rsid w:val="00E134C5"/>
    <w:rsid w:val="00E15A58"/>
    <w:rsid w:val="00E229E8"/>
    <w:rsid w:val="00E2381D"/>
    <w:rsid w:val="00E36487"/>
    <w:rsid w:val="00E36A0B"/>
    <w:rsid w:val="00E414D9"/>
    <w:rsid w:val="00E43403"/>
    <w:rsid w:val="00E471F9"/>
    <w:rsid w:val="00E4788D"/>
    <w:rsid w:val="00E51CB6"/>
    <w:rsid w:val="00E51E60"/>
    <w:rsid w:val="00E527E1"/>
    <w:rsid w:val="00E52CCF"/>
    <w:rsid w:val="00E5332F"/>
    <w:rsid w:val="00E61495"/>
    <w:rsid w:val="00E6661A"/>
    <w:rsid w:val="00E73B37"/>
    <w:rsid w:val="00E73D08"/>
    <w:rsid w:val="00E741CE"/>
    <w:rsid w:val="00E7480C"/>
    <w:rsid w:val="00E853EA"/>
    <w:rsid w:val="00E87EFC"/>
    <w:rsid w:val="00E92060"/>
    <w:rsid w:val="00E92799"/>
    <w:rsid w:val="00E94106"/>
    <w:rsid w:val="00E94D12"/>
    <w:rsid w:val="00E950F5"/>
    <w:rsid w:val="00E95A52"/>
    <w:rsid w:val="00E96186"/>
    <w:rsid w:val="00E964C7"/>
    <w:rsid w:val="00E9663C"/>
    <w:rsid w:val="00E97FD0"/>
    <w:rsid w:val="00E97FD6"/>
    <w:rsid w:val="00EA3943"/>
    <w:rsid w:val="00EA4537"/>
    <w:rsid w:val="00EA4DE3"/>
    <w:rsid w:val="00EA797C"/>
    <w:rsid w:val="00EA7C16"/>
    <w:rsid w:val="00EA7F64"/>
    <w:rsid w:val="00EB0A7C"/>
    <w:rsid w:val="00EB1445"/>
    <w:rsid w:val="00EB6630"/>
    <w:rsid w:val="00EB7A6F"/>
    <w:rsid w:val="00EC2195"/>
    <w:rsid w:val="00EC2DDC"/>
    <w:rsid w:val="00EC3743"/>
    <w:rsid w:val="00EC3B33"/>
    <w:rsid w:val="00EC428C"/>
    <w:rsid w:val="00ED1E50"/>
    <w:rsid w:val="00ED366F"/>
    <w:rsid w:val="00ED43AC"/>
    <w:rsid w:val="00ED4CBD"/>
    <w:rsid w:val="00ED7D31"/>
    <w:rsid w:val="00EE147F"/>
    <w:rsid w:val="00EE2851"/>
    <w:rsid w:val="00EE3CE3"/>
    <w:rsid w:val="00EE6027"/>
    <w:rsid w:val="00EF1648"/>
    <w:rsid w:val="00EF4EF2"/>
    <w:rsid w:val="00EF61E1"/>
    <w:rsid w:val="00F01F60"/>
    <w:rsid w:val="00F101AF"/>
    <w:rsid w:val="00F103A3"/>
    <w:rsid w:val="00F1186B"/>
    <w:rsid w:val="00F12839"/>
    <w:rsid w:val="00F13F34"/>
    <w:rsid w:val="00F243C6"/>
    <w:rsid w:val="00F24E94"/>
    <w:rsid w:val="00F269DB"/>
    <w:rsid w:val="00F313BA"/>
    <w:rsid w:val="00F33354"/>
    <w:rsid w:val="00F34FB7"/>
    <w:rsid w:val="00F427FD"/>
    <w:rsid w:val="00F444D2"/>
    <w:rsid w:val="00F4584C"/>
    <w:rsid w:val="00F47F2E"/>
    <w:rsid w:val="00F506C6"/>
    <w:rsid w:val="00F50EDF"/>
    <w:rsid w:val="00F51255"/>
    <w:rsid w:val="00F51B1D"/>
    <w:rsid w:val="00F51D48"/>
    <w:rsid w:val="00F53A3E"/>
    <w:rsid w:val="00F53ABD"/>
    <w:rsid w:val="00F5593C"/>
    <w:rsid w:val="00F57922"/>
    <w:rsid w:val="00F57AD5"/>
    <w:rsid w:val="00F67ED0"/>
    <w:rsid w:val="00F74F11"/>
    <w:rsid w:val="00F76860"/>
    <w:rsid w:val="00F7753D"/>
    <w:rsid w:val="00F813B0"/>
    <w:rsid w:val="00F81D58"/>
    <w:rsid w:val="00F82C30"/>
    <w:rsid w:val="00F841C6"/>
    <w:rsid w:val="00F86A4C"/>
    <w:rsid w:val="00F8741F"/>
    <w:rsid w:val="00F945D4"/>
    <w:rsid w:val="00F95441"/>
    <w:rsid w:val="00FA07F1"/>
    <w:rsid w:val="00FA1582"/>
    <w:rsid w:val="00FA166F"/>
    <w:rsid w:val="00FA4F17"/>
    <w:rsid w:val="00FA58C8"/>
    <w:rsid w:val="00FB13B9"/>
    <w:rsid w:val="00FB275B"/>
    <w:rsid w:val="00FB2F4D"/>
    <w:rsid w:val="00FB3043"/>
    <w:rsid w:val="00FB4349"/>
    <w:rsid w:val="00FB4759"/>
    <w:rsid w:val="00FB7560"/>
    <w:rsid w:val="00FC096B"/>
    <w:rsid w:val="00FC2522"/>
    <w:rsid w:val="00FC3677"/>
    <w:rsid w:val="00FC6130"/>
    <w:rsid w:val="00FC627A"/>
    <w:rsid w:val="00FC6609"/>
    <w:rsid w:val="00FD03A9"/>
    <w:rsid w:val="00FD06F8"/>
    <w:rsid w:val="00FD3F36"/>
    <w:rsid w:val="00FE0E01"/>
    <w:rsid w:val="00FE25CA"/>
    <w:rsid w:val="00FE6798"/>
    <w:rsid w:val="00FE7E7C"/>
    <w:rsid w:val="00FF425F"/>
    <w:rsid w:val="00FF45D4"/>
    <w:rsid w:val="00FF64E4"/>
    <w:rsid w:val="00FF65D7"/>
    <w:rsid w:val="00FF7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6A598"/>
  <w15:chartTrackingRefBased/>
  <w15:docId w15:val="{EA7DE120-5357-42A5-82E7-94C419F3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Strong" w:qFormat="1"/>
    <w:lsdException w:name="Emphasis" w:qFormat="1"/>
    <w:lsdException w:name="HTML Acrony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694F"/>
    <w:pPr>
      <w:spacing w:after="360" w:line="360" w:lineRule="auto"/>
      <w:jc w:val="both"/>
    </w:pPr>
    <w:rPr>
      <w:rFonts w:ascii="Arial" w:hAnsi="Arial"/>
      <w:sz w:val="22"/>
    </w:rPr>
  </w:style>
  <w:style w:type="paragraph" w:styleId="berschrift1">
    <w:name w:val="heading 1"/>
    <w:basedOn w:val="Standard"/>
    <w:link w:val="berschrift1Zchn"/>
    <w:uiPriority w:val="9"/>
    <w:qFormat/>
    <w:rsid w:val="00054289"/>
    <w:pPr>
      <w:spacing w:before="100" w:beforeAutospacing="1" w:after="100" w:afterAutospacing="1" w:line="240" w:lineRule="auto"/>
      <w:jc w:val="left"/>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
    <w:name w:val="V"/>
    <w:basedOn w:val="Standard"/>
    <w:next w:val="Standard"/>
    <w:rsid w:val="0069694F"/>
    <w:pPr>
      <w:tabs>
        <w:tab w:val="left" w:pos="993"/>
        <w:tab w:val="left" w:pos="1560"/>
      </w:tabs>
      <w:ind w:hanging="567"/>
    </w:pPr>
  </w:style>
  <w:style w:type="paragraph" w:customStyle="1" w:styleId="BAKred-Standard">
    <w:name w:val="BAKred-Standard"/>
    <w:basedOn w:val="Standard"/>
    <w:rsid w:val="0069694F"/>
  </w:style>
  <w:style w:type="paragraph" w:styleId="Kopfzeile">
    <w:name w:val="header"/>
    <w:basedOn w:val="Standard"/>
    <w:link w:val="KopfzeileZchn"/>
    <w:uiPriority w:val="99"/>
    <w:rsid w:val="0069694F"/>
    <w:pPr>
      <w:tabs>
        <w:tab w:val="center" w:pos="4536"/>
        <w:tab w:val="right" w:pos="9072"/>
      </w:tabs>
    </w:pPr>
    <w:rPr>
      <w:lang w:val="x-none" w:eastAsia="x-none"/>
    </w:rPr>
  </w:style>
  <w:style w:type="paragraph" w:styleId="Fuzeile">
    <w:name w:val="footer"/>
    <w:basedOn w:val="Standard"/>
    <w:link w:val="FuzeileZchn"/>
    <w:uiPriority w:val="99"/>
    <w:rsid w:val="0069694F"/>
    <w:pPr>
      <w:tabs>
        <w:tab w:val="center" w:pos="4536"/>
        <w:tab w:val="right" w:pos="9072"/>
      </w:tabs>
    </w:pPr>
    <w:rPr>
      <w:lang w:val="x-none" w:eastAsia="x-none"/>
    </w:rPr>
  </w:style>
  <w:style w:type="character" w:styleId="Seitenzahl">
    <w:name w:val="page number"/>
    <w:basedOn w:val="Absatz-Standardschriftart"/>
    <w:uiPriority w:val="99"/>
    <w:rsid w:val="0069694F"/>
  </w:style>
  <w:style w:type="paragraph" w:customStyle="1" w:styleId="StandardBAKred">
    <w:name w:val="Standard BAKred"/>
    <w:basedOn w:val="Standard"/>
    <w:rsid w:val="0069694F"/>
  </w:style>
  <w:style w:type="paragraph" w:customStyle="1" w:styleId="Paragr-berschr">
    <w:name w:val="Paragr-Überschr"/>
    <w:basedOn w:val="Standard"/>
    <w:link w:val="Paragr-berschrZchn"/>
    <w:rsid w:val="0069694F"/>
    <w:pPr>
      <w:keepNext/>
      <w:suppressAutoHyphens/>
      <w:spacing w:before="480"/>
      <w:jc w:val="center"/>
    </w:pPr>
    <w:rPr>
      <w:b/>
      <w:sz w:val="24"/>
    </w:rPr>
  </w:style>
  <w:style w:type="paragraph" w:customStyle="1" w:styleId="Bearb-Hinweis">
    <w:name w:val="Bearb-Hinweis"/>
    <w:basedOn w:val="Standard"/>
    <w:rsid w:val="0069694F"/>
    <w:pPr>
      <w:pBdr>
        <w:top w:val="single" w:sz="6" w:space="1" w:color="auto" w:shadow="1"/>
        <w:left w:val="single" w:sz="6" w:space="1" w:color="auto" w:shadow="1"/>
        <w:bottom w:val="single" w:sz="6" w:space="1" w:color="auto" w:shadow="1"/>
        <w:right w:val="single" w:sz="6" w:space="1" w:color="auto" w:shadow="1"/>
      </w:pBdr>
      <w:shd w:val="pct10" w:color="auto" w:fill="auto"/>
      <w:ind w:left="284" w:right="567"/>
    </w:pPr>
  </w:style>
  <w:style w:type="paragraph" w:styleId="Funotentext">
    <w:name w:val="footnote text"/>
    <w:aliases w:val="Gesetz_Fußnotentext"/>
    <w:basedOn w:val="Standard"/>
    <w:link w:val="FunotentextZchn"/>
    <w:semiHidden/>
    <w:rsid w:val="0069694F"/>
    <w:rPr>
      <w:sz w:val="20"/>
      <w:lang w:val="x-none" w:eastAsia="x-none"/>
    </w:rPr>
  </w:style>
  <w:style w:type="character" w:styleId="Funotenzeichen">
    <w:name w:val="footnote reference"/>
    <w:rsid w:val="0069694F"/>
    <w:rPr>
      <w:vertAlign w:val="superscript"/>
    </w:rPr>
  </w:style>
  <w:style w:type="paragraph" w:customStyle="1" w:styleId="Standard-tm">
    <w:name w:val="Standard-tm"/>
    <w:basedOn w:val="Standard"/>
    <w:rsid w:val="0069694F"/>
    <w:pPr>
      <w:jc w:val="center"/>
    </w:pPr>
    <w:rPr>
      <w:b/>
    </w:rPr>
  </w:style>
  <w:style w:type="paragraph" w:styleId="Textkrper">
    <w:name w:val="Body Text"/>
    <w:basedOn w:val="Standard"/>
    <w:link w:val="TextkrperZchn"/>
    <w:uiPriority w:val="99"/>
    <w:rsid w:val="0069694F"/>
    <w:pPr>
      <w:spacing w:after="0"/>
    </w:pPr>
    <w:rPr>
      <w:lang w:val="x-none" w:eastAsia="x-none"/>
    </w:rPr>
  </w:style>
  <w:style w:type="paragraph" w:styleId="Sprechblasentext">
    <w:name w:val="Balloon Text"/>
    <w:basedOn w:val="Standard"/>
    <w:link w:val="SprechblasentextZchn"/>
    <w:uiPriority w:val="99"/>
    <w:semiHidden/>
    <w:rsid w:val="0069694F"/>
    <w:rPr>
      <w:rFonts w:ascii="Tahoma" w:hAnsi="Tahoma"/>
      <w:sz w:val="16"/>
      <w:szCs w:val="16"/>
      <w:lang w:val="x-none" w:eastAsia="x-none"/>
    </w:rPr>
  </w:style>
  <w:style w:type="character" w:styleId="Kommentarzeichen">
    <w:name w:val="annotation reference"/>
    <w:uiPriority w:val="99"/>
    <w:semiHidden/>
    <w:rsid w:val="002A03AF"/>
    <w:rPr>
      <w:sz w:val="16"/>
      <w:szCs w:val="16"/>
    </w:rPr>
  </w:style>
  <w:style w:type="paragraph" w:styleId="Kommentartext">
    <w:name w:val="annotation text"/>
    <w:basedOn w:val="Standard"/>
    <w:link w:val="KommentartextZchn"/>
    <w:uiPriority w:val="99"/>
    <w:rsid w:val="002A03AF"/>
    <w:rPr>
      <w:sz w:val="20"/>
      <w:lang w:val="x-none" w:eastAsia="x-none"/>
    </w:rPr>
  </w:style>
  <w:style w:type="paragraph" w:styleId="Kommentarthema">
    <w:name w:val="annotation subject"/>
    <w:basedOn w:val="Kommentartext"/>
    <w:next w:val="Kommentartext"/>
    <w:link w:val="KommentarthemaZchn"/>
    <w:rsid w:val="00505C8E"/>
    <w:rPr>
      <w:b/>
      <w:bCs/>
    </w:rPr>
  </w:style>
  <w:style w:type="character" w:customStyle="1" w:styleId="KommentartextZchn">
    <w:name w:val="Kommentartext Zchn"/>
    <w:link w:val="Kommentartext"/>
    <w:uiPriority w:val="99"/>
    <w:rsid w:val="00505C8E"/>
    <w:rPr>
      <w:rFonts w:ascii="Arial" w:hAnsi="Arial"/>
    </w:rPr>
  </w:style>
  <w:style w:type="character" w:customStyle="1" w:styleId="KommentarthemaZchn">
    <w:name w:val="Kommentarthema Zchn"/>
    <w:basedOn w:val="KommentartextZchn"/>
    <w:link w:val="Kommentarthema"/>
    <w:rsid w:val="00505C8E"/>
    <w:rPr>
      <w:rFonts w:ascii="Arial" w:hAnsi="Arial"/>
    </w:rPr>
  </w:style>
  <w:style w:type="paragraph" w:styleId="Listenabsatz">
    <w:name w:val="List Paragraph"/>
    <w:basedOn w:val="Standard"/>
    <w:uiPriority w:val="34"/>
    <w:qFormat/>
    <w:rsid w:val="00046485"/>
    <w:pPr>
      <w:spacing w:after="0" w:line="240" w:lineRule="auto"/>
      <w:ind w:left="720"/>
      <w:contextualSpacing/>
    </w:pPr>
    <w:rPr>
      <w:sz w:val="23"/>
    </w:rPr>
  </w:style>
  <w:style w:type="character" w:customStyle="1" w:styleId="KopfzeileZchn">
    <w:name w:val="Kopfzeile Zchn"/>
    <w:link w:val="Kopfzeile"/>
    <w:uiPriority w:val="99"/>
    <w:locked/>
    <w:rsid w:val="00202E7B"/>
    <w:rPr>
      <w:rFonts w:ascii="Arial" w:hAnsi="Arial"/>
      <w:sz w:val="22"/>
    </w:rPr>
  </w:style>
  <w:style w:type="character" w:customStyle="1" w:styleId="FuzeileZchn">
    <w:name w:val="Fußzeile Zchn"/>
    <w:link w:val="Fuzeile"/>
    <w:uiPriority w:val="99"/>
    <w:locked/>
    <w:rsid w:val="00202E7B"/>
    <w:rPr>
      <w:rFonts w:ascii="Arial" w:hAnsi="Arial"/>
      <w:sz w:val="22"/>
    </w:rPr>
  </w:style>
  <w:style w:type="character" w:customStyle="1" w:styleId="FunotentextZchn">
    <w:name w:val="Fußnotentext Zchn"/>
    <w:aliases w:val="Gesetz_Fußnotentext Zchn"/>
    <w:link w:val="Funotentext"/>
    <w:uiPriority w:val="99"/>
    <w:semiHidden/>
    <w:locked/>
    <w:rsid w:val="00202E7B"/>
    <w:rPr>
      <w:rFonts w:ascii="Arial" w:hAnsi="Arial"/>
    </w:rPr>
  </w:style>
  <w:style w:type="character" w:customStyle="1" w:styleId="TextkrperZchn">
    <w:name w:val="Textkörper Zchn"/>
    <w:link w:val="Textkrper"/>
    <w:uiPriority w:val="99"/>
    <w:locked/>
    <w:rsid w:val="00202E7B"/>
    <w:rPr>
      <w:rFonts w:ascii="Arial" w:hAnsi="Arial"/>
      <w:sz w:val="22"/>
    </w:rPr>
  </w:style>
  <w:style w:type="character" w:customStyle="1" w:styleId="SprechblasentextZchn">
    <w:name w:val="Sprechblasentext Zchn"/>
    <w:link w:val="Sprechblasentext"/>
    <w:uiPriority w:val="99"/>
    <w:semiHidden/>
    <w:locked/>
    <w:rsid w:val="00202E7B"/>
    <w:rPr>
      <w:rFonts w:ascii="Tahoma" w:hAnsi="Tahoma" w:cs="Tahoma"/>
      <w:sz w:val="16"/>
      <w:szCs w:val="16"/>
    </w:rPr>
  </w:style>
  <w:style w:type="character" w:customStyle="1" w:styleId="berschrift1Zchn">
    <w:name w:val="Überschrift 1 Zchn"/>
    <w:link w:val="berschrift1"/>
    <w:uiPriority w:val="9"/>
    <w:rsid w:val="00054289"/>
    <w:rPr>
      <w:b/>
      <w:bCs/>
      <w:kern w:val="36"/>
      <w:sz w:val="48"/>
      <w:szCs w:val="48"/>
    </w:rPr>
  </w:style>
  <w:style w:type="character" w:styleId="HTMLAkronym">
    <w:name w:val="HTML Acronym"/>
    <w:basedOn w:val="Absatz-Standardschriftart"/>
    <w:uiPriority w:val="99"/>
    <w:unhideWhenUsed/>
    <w:rsid w:val="00054289"/>
  </w:style>
  <w:style w:type="character" w:customStyle="1" w:styleId="label">
    <w:name w:val="label"/>
    <w:basedOn w:val="Absatz-Standardschriftart"/>
    <w:rsid w:val="00054289"/>
  </w:style>
  <w:style w:type="character" w:customStyle="1" w:styleId="value">
    <w:name w:val="value"/>
    <w:basedOn w:val="Absatz-Standardschriftart"/>
    <w:rsid w:val="00054289"/>
  </w:style>
  <w:style w:type="paragraph" w:customStyle="1" w:styleId="NummerierungStufe1">
    <w:name w:val="Nummerierung (Stufe 1)"/>
    <w:basedOn w:val="Standard"/>
    <w:rsid w:val="0098767A"/>
    <w:pPr>
      <w:numPr>
        <w:ilvl w:val="3"/>
        <w:numId w:val="15"/>
      </w:numPr>
      <w:spacing w:before="120" w:after="120" w:line="240" w:lineRule="auto"/>
    </w:pPr>
    <w:rPr>
      <w:rFonts w:eastAsia="Calibri"/>
      <w:szCs w:val="22"/>
      <w:lang w:eastAsia="en-US"/>
    </w:rPr>
  </w:style>
  <w:style w:type="paragraph" w:customStyle="1" w:styleId="NummerierungStufe2">
    <w:name w:val="Nummerierung (Stufe 2)"/>
    <w:basedOn w:val="Standard"/>
    <w:uiPriority w:val="99"/>
    <w:rsid w:val="0098767A"/>
    <w:pPr>
      <w:numPr>
        <w:ilvl w:val="4"/>
        <w:numId w:val="15"/>
      </w:numPr>
      <w:spacing w:before="120" w:after="120" w:line="240" w:lineRule="auto"/>
    </w:pPr>
    <w:rPr>
      <w:rFonts w:eastAsia="Calibri" w:cs="Arial"/>
      <w:szCs w:val="22"/>
      <w:lang w:eastAsia="en-US"/>
    </w:rPr>
  </w:style>
  <w:style w:type="paragraph" w:customStyle="1" w:styleId="NummerierungStufe3">
    <w:name w:val="Nummerierung (Stufe 3)"/>
    <w:basedOn w:val="Standard"/>
    <w:uiPriority w:val="99"/>
    <w:rsid w:val="0098767A"/>
    <w:pPr>
      <w:numPr>
        <w:ilvl w:val="5"/>
        <w:numId w:val="15"/>
      </w:numPr>
      <w:spacing w:before="120" w:after="120" w:line="240" w:lineRule="auto"/>
    </w:pPr>
    <w:rPr>
      <w:rFonts w:cs="Arial"/>
      <w:szCs w:val="24"/>
    </w:rPr>
  </w:style>
  <w:style w:type="paragraph" w:customStyle="1" w:styleId="NummerierungStufe4">
    <w:name w:val="Nummerierung (Stufe 4)"/>
    <w:basedOn w:val="Standard"/>
    <w:uiPriority w:val="99"/>
    <w:rsid w:val="0098767A"/>
    <w:pPr>
      <w:numPr>
        <w:ilvl w:val="6"/>
        <w:numId w:val="15"/>
      </w:numPr>
      <w:spacing w:before="120" w:after="120" w:line="240" w:lineRule="auto"/>
    </w:pPr>
    <w:rPr>
      <w:rFonts w:cs="Arial"/>
      <w:szCs w:val="24"/>
    </w:rPr>
  </w:style>
  <w:style w:type="paragraph" w:customStyle="1" w:styleId="ParagraphBezeichner">
    <w:name w:val="Paragraph Bezeichner"/>
    <w:basedOn w:val="Standard"/>
    <w:next w:val="Standard"/>
    <w:uiPriority w:val="99"/>
    <w:rsid w:val="0098767A"/>
    <w:pPr>
      <w:keepNext/>
      <w:numPr>
        <w:ilvl w:val="1"/>
        <w:numId w:val="15"/>
      </w:numPr>
      <w:spacing w:before="480" w:after="120" w:line="240" w:lineRule="auto"/>
      <w:jc w:val="center"/>
    </w:pPr>
    <w:rPr>
      <w:rFonts w:cs="Arial"/>
      <w:szCs w:val="24"/>
    </w:rPr>
  </w:style>
  <w:style w:type="paragraph" w:customStyle="1" w:styleId="JuristischerAbsatznummeriert">
    <w:name w:val="Juristischer Absatz (nummeriert)"/>
    <w:basedOn w:val="Standard"/>
    <w:uiPriority w:val="99"/>
    <w:rsid w:val="0098767A"/>
    <w:pPr>
      <w:numPr>
        <w:ilvl w:val="2"/>
        <w:numId w:val="15"/>
      </w:numPr>
      <w:spacing w:before="120" w:after="120" w:line="240" w:lineRule="auto"/>
    </w:pPr>
    <w:rPr>
      <w:rFonts w:cs="Arial"/>
      <w:szCs w:val="24"/>
    </w:rPr>
  </w:style>
  <w:style w:type="paragraph" w:customStyle="1" w:styleId="ArtikelBezeichner">
    <w:name w:val="Artikel Bezeichner"/>
    <w:basedOn w:val="Standard"/>
    <w:next w:val="Standard"/>
    <w:uiPriority w:val="99"/>
    <w:rsid w:val="0098767A"/>
    <w:pPr>
      <w:keepNext/>
      <w:numPr>
        <w:numId w:val="15"/>
      </w:numPr>
      <w:spacing w:before="480" w:after="240" w:line="240" w:lineRule="auto"/>
      <w:ind w:left="6532"/>
      <w:jc w:val="center"/>
    </w:pPr>
    <w:rPr>
      <w:rFonts w:eastAsia="Calibri" w:cs="Arial"/>
      <w:b/>
      <w:sz w:val="28"/>
      <w:szCs w:val="22"/>
      <w:lang w:eastAsia="en-US"/>
    </w:rPr>
  </w:style>
  <w:style w:type="paragraph" w:customStyle="1" w:styleId="Text">
    <w:name w:val="Text"/>
    <w:basedOn w:val="Standard"/>
    <w:link w:val="TextChar"/>
    <w:uiPriority w:val="99"/>
    <w:rsid w:val="0098767A"/>
    <w:pPr>
      <w:spacing w:before="120" w:after="120" w:line="240" w:lineRule="auto"/>
    </w:pPr>
    <w:rPr>
      <w:szCs w:val="24"/>
      <w:lang w:val="x-none" w:eastAsia="x-none"/>
    </w:rPr>
  </w:style>
  <w:style w:type="character" w:customStyle="1" w:styleId="TextChar">
    <w:name w:val="Text Char"/>
    <w:link w:val="Text"/>
    <w:uiPriority w:val="99"/>
    <w:rsid w:val="0098767A"/>
    <w:rPr>
      <w:rFonts w:ascii="Arial" w:hAnsi="Arial" w:cs="Arial"/>
      <w:sz w:val="22"/>
      <w:szCs w:val="24"/>
    </w:rPr>
  </w:style>
  <w:style w:type="character" w:customStyle="1" w:styleId="RevisionText">
    <w:name w:val="Revision Text"/>
    <w:rsid w:val="0098767A"/>
    <w:rPr>
      <w:color w:val="800000"/>
    </w:rPr>
  </w:style>
  <w:style w:type="paragraph" w:customStyle="1" w:styleId="RevisionJuristischerAbsatz">
    <w:name w:val="Revision Juristischer Absatz"/>
    <w:basedOn w:val="Standard"/>
    <w:rsid w:val="00833888"/>
    <w:pPr>
      <w:numPr>
        <w:ilvl w:val="2"/>
        <w:numId w:val="17"/>
      </w:numPr>
      <w:spacing w:before="120" w:after="120" w:line="240" w:lineRule="auto"/>
    </w:pPr>
    <w:rPr>
      <w:color w:val="800000"/>
      <w:szCs w:val="24"/>
    </w:rPr>
  </w:style>
  <w:style w:type="paragraph" w:customStyle="1" w:styleId="RevisionNummerierungStufe1">
    <w:name w:val="Revision Nummerierung (Stufe 1)"/>
    <w:basedOn w:val="Standard"/>
    <w:rsid w:val="00833888"/>
    <w:pPr>
      <w:numPr>
        <w:ilvl w:val="3"/>
        <w:numId w:val="17"/>
      </w:numPr>
      <w:spacing w:before="120" w:after="120" w:line="240" w:lineRule="auto"/>
    </w:pPr>
    <w:rPr>
      <w:color w:val="800000"/>
      <w:szCs w:val="24"/>
    </w:rPr>
  </w:style>
  <w:style w:type="paragraph" w:customStyle="1" w:styleId="RevisionNummerierungStufe2">
    <w:name w:val="Revision Nummerierung (Stufe 2)"/>
    <w:basedOn w:val="Standard"/>
    <w:rsid w:val="00833888"/>
    <w:pPr>
      <w:numPr>
        <w:ilvl w:val="4"/>
        <w:numId w:val="17"/>
      </w:numPr>
      <w:spacing w:before="120" w:after="120" w:line="240" w:lineRule="auto"/>
    </w:pPr>
    <w:rPr>
      <w:color w:val="800000"/>
      <w:szCs w:val="24"/>
    </w:rPr>
  </w:style>
  <w:style w:type="paragraph" w:customStyle="1" w:styleId="RevisionNummerierungStufe3">
    <w:name w:val="Revision Nummerierung (Stufe 3)"/>
    <w:basedOn w:val="Standard"/>
    <w:rsid w:val="00833888"/>
    <w:pPr>
      <w:numPr>
        <w:ilvl w:val="5"/>
        <w:numId w:val="17"/>
      </w:numPr>
      <w:spacing w:before="120" w:after="120" w:line="240" w:lineRule="auto"/>
    </w:pPr>
    <w:rPr>
      <w:color w:val="800000"/>
      <w:szCs w:val="24"/>
    </w:rPr>
  </w:style>
  <w:style w:type="paragraph" w:customStyle="1" w:styleId="RevisionNummerierungStufe4">
    <w:name w:val="Revision Nummerierung (Stufe 4)"/>
    <w:basedOn w:val="Standard"/>
    <w:rsid w:val="00833888"/>
    <w:pPr>
      <w:numPr>
        <w:ilvl w:val="6"/>
        <w:numId w:val="17"/>
      </w:numPr>
      <w:spacing w:before="120" w:after="120" w:line="240" w:lineRule="auto"/>
    </w:pPr>
    <w:rPr>
      <w:color w:val="800000"/>
      <w:szCs w:val="24"/>
    </w:rPr>
  </w:style>
  <w:style w:type="paragraph" w:customStyle="1" w:styleId="RevisionParagraphBezeichner">
    <w:name w:val="Revision Paragraph Bezeichner"/>
    <w:basedOn w:val="Standard"/>
    <w:next w:val="Standard"/>
    <w:rsid w:val="00833888"/>
    <w:pPr>
      <w:keepNext/>
      <w:numPr>
        <w:ilvl w:val="1"/>
        <w:numId w:val="17"/>
      </w:numPr>
      <w:spacing w:before="480" w:after="120" w:line="240" w:lineRule="auto"/>
      <w:jc w:val="center"/>
    </w:pPr>
    <w:rPr>
      <w:color w:val="800000"/>
      <w:szCs w:val="24"/>
    </w:rPr>
  </w:style>
  <w:style w:type="paragraph" w:customStyle="1" w:styleId="RevisionArtikelBezeichner">
    <w:name w:val="Revision Artikel Bezeichner"/>
    <w:basedOn w:val="Standard"/>
    <w:next w:val="Standard"/>
    <w:rsid w:val="00833888"/>
    <w:pPr>
      <w:keepNext/>
      <w:numPr>
        <w:numId w:val="17"/>
      </w:numPr>
      <w:spacing w:before="480" w:after="240" w:line="240" w:lineRule="auto"/>
      <w:jc w:val="center"/>
    </w:pPr>
    <w:rPr>
      <w:b/>
      <w:color w:val="800000"/>
      <w:sz w:val="28"/>
      <w:szCs w:val="24"/>
    </w:rPr>
  </w:style>
  <w:style w:type="character" w:customStyle="1" w:styleId="Paragr-berschrZchn">
    <w:name w:val="Paragr-Überschr Zchn"/>
    <w:link w:val="Paragr-berschr"/>
    <w:locked/>
    <w:rsid w:val="00CD4DAD"/>
    <w:rPr>
      <w:rFonts w:ascii="Arial" w:hAnsi="Arial"/>
      <w:b/>
      <w:sz w:val="24"/>
    </w:rPr>
  </w:style>
  <w:style w:type="paragraph" w:styleId="Endnotentext">
    <w:name w:val="endnote text"/>
    <w:basedOn w:val="Standard"/>
    <w:link w:val="EndnotentextZchn"/>
    <w:rsid w:val="000070D6"/>
    <w:rPr>
      <w:sz w:val="20"/>
    </w:rPr>
  </w:style>
  <w:style w:type="character" w:customStyle="1" w:styleId="EndnotentextZchn">
    <w:name w:val="Endnotentext Zchn"/>
    <w:basedOn w:val="Absatz-Standardschriftart"/>
    <w:link w:val="Endnotentext"/>
    <w:rsid w:val="000070D6"/>
    <w:rPr>
      <w:rFonts w:ascii="Arial" w:hAnsi="Arial"/>
    </w:rPr>
  </w:style>
  <w:style w:type="character" w:styleId="Endnotenzeichen">
    <w:name w:val="endnote reference"/>
    <w:basedOn w:val="Absatz-Standardschriftart"/>
    <w:rsid w:val="000070D6"/>
    <w:rPr>
      <w:vertAlign w:val="superscript"/>
    </w:rPr>
  </w:style>
  <w:style w:type="paragraph" w:customStyle="1" w:styleId="Default">
    <w:name w:val="Default"/>
    <w:rsid w:val="000070D6"/>
    <w:pPr>
      <w:autoSpaceDE w:val="0"/>
      <w:autoSpaceDN w:val="0"/>
      <w:adjustRightInd w:val="0"/>
    </w:pPr>
    <w:rPr>
      <w:rFonts w:ascii="EUAlbertina" w:hAnsi="EUAlbertina" w:cs="EUAlbertina"/>
      <w:color w:val="000000"/>
      <w:sz w:val="24"/>
      <w:szCs w:val="24"/>
    </w:rPr>
  </w:style>
  <w:style w:type="character" w:styleId="Hyperlink">
    <w:name w:val="Hyperlink"/>
    <w:unhideWhenUsed/>
    <w:rsid w:val="008A5DCD"/>
    <w:rPr>
      <w:color w:val="0000FF"/>
      <w:u w:val="single"/>
    </w:rPr>
  </w:style>
  <w:style w:type="paragraph" w:styleId="berarbeitung">
    <w:name w:val="Revision"/>
    <w:hidden/>
    <w:uiPriority w:val="99"/>
    <w:semiHidden/>
    <w:rsid w:val="006C033C"/>
    <w:rPr>
      <w:rFonts w:ascii="Arial" w:hAnsi="Arial"/>
      <w:sz w:val="22"/>
    </w:rPr>
  </w:style>
  <w:style w:type="character" w:styleId="NichtaufgelsteErwhnung">
    <w:name w:val="Unresolved Mention"/>
    <w:basedOn w:val="Absatz-Standardschriftart"/>
    <w:uiPriority w:val="99"/>
    <w:semiHidden/>
    <w:unhideWhenUsed/>
    <w:rsid w:val="00653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9877">
      <w:bodyDiv w:val="1"/>
      <w:marLeft w:val="0"/>
      <w:marRight w:val="0"/>
      <w:marTop w:val="0"/>
      <w:marBottom w:val="0"/>
      <w:divBdr>
        <w:top w:val="none" w:sz="0" w:space="0" w:color="auto"/>
        <w:left w:val="none" w:sz="0" w:space="0" w:color="auto"/>
        <w:bottom w:val="none" w:sz="0" w:space="0" w:color="auto"/>
        <w:right w:val="none" w:sz="0" w:space="0" w:color="auto"/>
      </w:divBdr>
      <w:divsChild>
        <w:div w:id="985624227">
          <w:marLeft w:val="0"/>
          <w:marRight w:val="0"/>
          <w:marTop w:val="0"/>
          <w:marBottom w:val="0"/>
          <w:divBdr>
            <w:top w:val="none" w:sz="0" w:space="0" w:color="auto"/>
            <w:left w:val="none" w:sz="0" w:space="0" w:color="auto"/>
            <w:bottom w:val="none" w:sz="0" w:space="0" w:color="auto"/>
            <w:right w:val="none" w:sz="0" w:space="0" w:color="auto"/>
          </w:divBdr>
          <w:divsChild>
            <w:div w:id="430860730">
              <w:marLeft w:val="0"/>
              <w:marRight w:val="0"/>
              <w:marTop w:val="0"/>
              <w:marBottom w:val="0"/>
              <w:divBdr>
                <w:top w:val="none" w:sz="0" w:space="0" w:color="auto"/>
                <w:left w:val="none" w:sz="0" w:space="0" w:color="auto"/>
                <w:bottom w:val="none" w:sz="0" w:space="0" w:color="auto"/>
                <w:right w:val="none" w:sz="0" w:space="0" w:color="auto"/>
              </w:divBdr>
              <w:divsChild>
                <w:div w:id="1679694287">
                  <w:marLeft w:val="0"/>
                  <w:marRight w:val="0"/>
                  <w:marTop w:val="0"/>
                  <w:marBottom w:val="0"/>
                  <w:divBdr>
                    <w:top w:val="none" w:sz="0" w:space="0" w:color="auto"/>
                    <w:left w:val="none" w:sz="0" w:space="0" w:color="auto"/>
                    <w:bottom w:val="none" w:sz="0" w:space="0" w:color="auto"/>
                    <w:right w:val="none" w:sz="0" w:space="0" w:color="auto"/>
                  </w:divBdr>
                  <w:divsChild>
                    <w:div w:id="507644528">
                      <w:marLeft w:val="0"/>
                      <w:marRight w:val="0"/>
                      <w:marTop w:val="0"/>
                      <w:marBottom w:val="0"/>
                      <w:divBdr>
                        <w:top w:val="none" w:sz="0" w:space="0" w:color="auto"/>
                        <w:left w:val="none" w:sz="0" w:space="0" w:color="auto"/>
                        <w:bottom w:val="none" w:sz="0" w:space="0" w:color="auto"/>
                        <w:right w:val="none" w:sz="0" w:space="0" w:color="auto"/>
                      </w:divBdr>
                      <w:divsChild>
                        <w:div w:id="435368060">
                          <w:marLeft w:val="0"/>
                          <w:marRight w:val="0"/>
                          <w:marTop w:val="0"/>
                          <w:marBottom w:val="0"/>
                          <w:divBdr>
                            <w:top w:val="none" w:sz="0" w:space="0" w:color="auto"/>
                            <w:left w:val="none" w:sz="0" w:space="0" w:color="auto"/>
                            <w:bottom w:val="none" w:sz="0" w:space="0" w:color="auto"/>
                            <w:right w:val="none" w:sz="0" w:space="0" w:color="auto"/>
                          </w:divBdr>
                          <w:divsChild>
                            <w:div w:id="18255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fin.de/schlichtungsstell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ec.europa.eu/consumers/od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E288-EFD4-4DEA-B87C-FC523B6A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5841</Words>
  <Characters>39927</Characters>
  <Application>Microsoft Office Word</Application>
  <DocSecurity>0</DocSecurity>
  <Lines>332</Lines>
  <Paragraphs>91</Paragraphs>
  <ScaleCrop>false</ScaleCrop>
  <HeadingPairs>
    <vt:vector size="2" baseType="variant">
      <vt:variant>
        <vt:lpstr>Titel</vt:lpstr>
      </vt:variant>
      <vt:variant>
        <vt:i4>1</vt:i4>
      </vt:variant>
    </vt:vector>
  </HeadingPairs>
  <TitlesOfParts>
    <vt:vector size="1" baseType="lpstr">
      <vt:lpstr>W E R T P A P I E R - S O N D E R V E R M Ö G E N</vt:lpstr>
    </vt:vector>
  </TitlesOfParts>
  <Company>BVI</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E R T P A P I E R - S O N D E R V E R M Ö G E N</dc:title>
  <dc:subject/>
  <dc:creator>Hannelore Huber</dc:creator>
  <cp:keywords/>
  <cp:lastModifiedBy>Melanie Döring</cp:lastModifiedBy>
  <cp:revision>4</cp:revision>
  <cp:lastPrinted>2022-10-25T08:49:00Z</cp:lastPrinted>
  <dcterms:created xsi:type="dcterms:W3CDTF">2024-10-02T13:41:00Z</dcterms:created>
  <dcterms:modified xsi:type="dcterms:W3CDTF">2024-10-02T13:52:00Z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1741f6-9e47-426e-a683-937c37d4ebc5_Enabled">
    <vt:lpwstr>true</vt:lpwstr>
  </property>
  <property fmtid="{D5CDD505-2E9C-101B-9397-08002B2CF9AE}" pid="3" name="MSIP_Label_af1741f6-9e47-426e-a683-937c37d4ebc5_SetDate">
    <vt:lpwstr>2024-05-24T11:57:27Z</vt:lpwstr>
  </property>
  <property fmtid="{D5CDD505-2E9C-101B-9397-08002B2CF9AE}" pid="4" name="MSIP_Label_af1741f6-9e47-426e-a683-937c37d4ebc5_Method">
    <vt:lpwstr>Privileged</vt:lpwstr>
  </property>
  <property fmtid="{D5CDD505-2E9C-101B-9397-08002B2CF9AE}" pid="5" name="MSIP_Label_af1741f6-9e47-426e-a683-937c37d4ebc5_Name">
    <vt:lpwstr>af1741f6-9e47-426e-a683-937c37d4ebc5</vt:lpwstr>
  </property>
  <property fmtid="{D5CDD505-2E9C-101B-9397-08002B2CF9AE}" pid="6" name="MSIP_Label_af1741f6-9e47-426e-a683-937c37d4ebc5_SiteId">
    <vt:lpwstr>1e9b61e8-e590-4abc-b1af-24125e330d2a</vt:lpwstr>
  </property>
  <property fmtid="{D5CDD505-2E9C-101B-9397-08002B2CF9AE}" pid="7" name="MSIP_Label_af1741f6-9e47-426e-a683-937c37d4ebc5_ActionId">
    <vt:lpwstr>59562711-01dd-4272-8a6a-cbeb9a8b9552</vt:lpwstr>
  </property>
  <property fmtid="{D5CDD505-2E9C-101B-9397-08002B2CF9AE}" pid="8" name="MSIP_Label_af1741f6-9e47-426e-a683-937c37d4ebc5_ContentBits">
    <vt:lpwstr>3</vt:lpwstr>
  </property>
  <property fmtid="{D5CDD505-2E9C-101B-9397-08002B2CF9AE}" pid="9" name="db.comClassification">
    <vt:lpwstr>For internal use only</vt:lpwstr>
  </property>
</Properties>
</file>