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5D1B" w14:textId="66C38A4C" w:rsidR="008A7406" w:rsidRDefault="008A7406" w:rsidP="00EA5517">
      <w:pPr>
        <w:tabs>
          <w:tab w:val="left" w:pos="3132"/>
        </w:tabs>
      </w:pPr>
    </w:p>
    <w:p w14:paraId="6D959DF0" w14:textId="77777777" w:rsidR="008A7406" w:rsidRDefault="008A7406"/>
    <w:tbl>
      <w:tblPr>
        <w:tblW w:w="0" w:type="auto"/>
        <w:tblLayout w:type="fixed"/>
        <w:tblCellMar>
          <w:left w:w="70" w:type="dxa"/>
          <w:right w:w="70" w:type="dxa"/>
        </w:tblCellMar>
        <w:tblLook w:val="0000" w:firstRow="0" w:lastRow="0" w:firstColumn="0" w:lastColumn="0" w:noHBand="0" w:noVBand="0"/>
      </w:tblPr>
      <w:tblGrid>
        <w:gridCol w:w="8008"/>
      </w:tblGrid>
      <w:tr w:rsidR="008A7406" w14:paraId="45E6577F" w14:textId="77777777" w:rsidTr="001B4E58">
        <w:tc>
          <w:tcPr>
            <w:tcW w:w="8008" w:type="dxa"/>
            <w:tcBorders>
              <w:top w:val="single" w:sz="6" w:space="0" w:color="auto"/>
              <w:left w:val="single" w:sz="6" w:space="0" w:color="auto"/>
              <w:bottom w:val="single" w:sz="6" w:space="0" w:color="auto"/>
              <w:right w:val="single" w:sz="6" w:space="0" w:color="auto"/>
            </w:tcBorders>
            <w:shd w:val="pct10" w:color="auto" w:fill="auto"/>
            <w:vAlign w:val="center"/>
          </w:tcPr>
          <w:p w14:paraId="5ECEFDAA" w14:textId="23216E5E" w:rsidR="00F332E9" w:rsidRDefault="00EF0C43" w:rsidP="001B4E58">
            <w:pPr>
              <w:pStyle w:val="Standard-tm"/>
              <w:spacing w:before="240" w:after="240"/>
            </w:pPr>
            <w:r>
              <w:t>OGAW-</w:t>
            </w:r>
            <w:r w:rsidR="008A7406">
              <w:t>SONDERVERMÖGEN</w:t>
            </w:r>
          </w:p>
        </w:tc>
      </w:tr>
    </w:tbl>
    <w:p w14:paraId="30B77CD4" w14:textId="77777777" w:rsidR="008A7406" w:rsidRDefault="008A7406"/>
    <w:p w14:paraId="0A3C94C1" w14:textId="77777777" w:rsidR="008A7406" w:rsidRDefault="008A7406">
      <w:pPr>
        <w:jc w:val="center"/>
        <w:rPr>
          <w:b/>
        </w:rPr>
      </w:pPr>
      <w:r>
        <w:rPr>
          <w:b/>
        </w:rPr>
        <w:t xml:space="preserve">ALLGEMEINE </w:t>
      </w:r>
      <w:r w:rsidR="00EF0C43">
        <w:rPr>
          <w:b/>
        </w:rPr>
        <w:t>ANLAGE</w:t>
      </w:r>
      <w:r>
        <w:rPr>
          <w:b/>
        </w:rPr>
        <w:t>BEDINGUNGEN</w:t>
      </w:r>
    </w:p>
    <w:p w14:paraId="51236B61" w14:textId="77777777" w:rsidR="008A7406" w:rsidRDefault="008A7406">
      <w:pPr>
        <w:jc w:val="center"/>
        <w:rPr>
          <w:b/>
        </w:rPr>
      </w:pPr>
      <w:r>
        <w:rPr>
          <w:b/>
        </w:rPr>
        <w:t>für</w:t>
      </w:r>
    </w:p>
    <w:p w14:paraId="56DB5C14" w14:textId="77777777" w:rsidR="008A7406" w:rsidRDefault="00EF0C43">
      <w:pPr>
        <w:jc w:val="center"/>
        <w:rPr>
          <w:b/>
          <w:caps/>
        </w:rPr>
      </w:pPr>
      <w:r>
        <w:rPr>
          <w:b/>
          <w:caps/>
        </w:rPr>
        <w:t>OGAW-</w:t>
      </w:r>
      <w:r w:rsidR="008A7406">
        <w:rPr>
          <w:b/>
          <w:caps/>
        </w:rPr>
        <w:t>SONDERVERMÖGEN</w:t>
      </w:r>
    </w:p>
    <w:p w14:paraId="38683E10" w14:textId="77777777" w:rsidR="008A7406" w:rsidRDefault="008A7406">
      <w:pPr>
        <w:jc w:val="center"/>
        <w:rPr>
          <w:b/>
        </w:rPr>
      </w:pPr>
    </w:p>
    <w:p w14:paraId="1221BAA4" w14:textId="77777777" w:rsidR="008A7406" w:rsidRDefault="008A7406">
      <w:pPr>
        <w:jc w:val="center"/>
        <w:rPr>
          <w:b/>
        </w:rPr>
      </w:pPr>
    </w:p>
    <w:p w14:paraId="3301DC5A" w14:textId="77777777" w:rsidR="008A7406" w:rsidRDefault="008A7406">
      <w:pPr>
        <w:pStyle w:val="Standard-tm"/>
        <w:rPr>
          <w:sz w:val="28"/>
        </w:rPr>
      </w:pPr>
      <w:r>
        <w:rPr>
          <w:sz w:val="28"/>
        </w:rPr>
        <w:t xml:space="preserve">- Keine </w:t>
      </w:r>
      <w:proofErr w:type="spellStart"/>
      <w:r>
        <w:rPr>
          <w:sz w:val="28"/>
        </w:rPr>
        <w:t>Umbrella</w:t>
      </w:r>
      <w:proofErr w:type="spellEnd"/>
      <w:r>
        <w:rPr>
          <w:sz w:val="28"/>
        </w:rPr>
        <w:t xml:space="preserve">-Konstruktion nach </w:t>
      </w:r>
      <w:r w:rsidR="000F4982">
        <w:rPr>
          <w:sz w:val="28"/>
        </w:rPr>
        <w:t>§ 96 KAGB</w:t>
      </w:r>
      <w:r>
        <w:rPr>
          <w:sz w:val="28"/>
        </w:rPr>
        <w:t xml:space="preserve"> -</w:t>
      </w:r>
    </w:p>
    <w:p w14:paraId="696F3A11" w14:textId="77777777" w:rsidR="008A7406" w:rsidRDefault="008A7406">
      <w:pPr>
        <w:jc w:val="center"/>
        <w:rPr>
          <w:b/>
        </w:rPr>
      </w:pPr>
    </w:p>
    <w:p w14:paraId="6B13820E" w14:textId="16B443F3" w:rsidR="00DF5DB9" w:rsidRPr="000350B1" w:rsidRDefault="00DF5DB9" w:rsidP="00DF5DB9">
      <w:pPr>
        <w:pStyle w:val="Standard-tm"/>
      </w:pPr>
      <w:r w:rsidRPr="000350B1">
        <w:t>(Stand:</w:t>
      </w:r>
      <w:r w:rsidR="00EF3783" w:rsidRPr="000350B1">
        <w:t xml:space="preserve"> </w:t>
      </w:r>
      <w:bookmarkStart w:id="0" w:name="_Hlk115764167"/>
      <w:r w:rsidR="00981B12">
        <w:t>13.05.2024</w:t>
      </w:r>
      <w:bookmarkEnd w:id="0"/>
      <w:r w:rsidRPr="000350B1">
        <w:t>)</w:t>
      </w:r>
    </w:p>
    <w:p w14:paraId="667131CB" w14:textId="77777777" w:rsidR="00235192" w:rsidRPr="000350B1" w:rsidRDefault="00235192" w:rsidP="001B4E58">
      <w:pPr>
        <w:rPr>
          <w:b/>
        </w:rPr>
      </w:pPr>
    </w:p>
    <w:p w14:paraId="1F90295E" w14:textId="77777777" w:rsidR="00235192" w:rsidRPr="000350B1" w:rsidRDefault="00235192" w:rsidP="00537349">
      <w:pPr>
        <w:jc w:val="left"/>
        <w:rPr>
          <w:b/>
        </w:rPr>
      </w:pPr>
    </w:p>
    <w:p w14:paraId="788FAED9" w14:textId="77777777" w:rsidR="00EF0C43" w:rsidRPr="000350B1" w:rsidRDefault="00EF0C43" w:rsidP="00235192">
      <w:pPr>
        <w:jc w:val="left"/>
        <w:rPr>
          <w:b/>
        </w:rPr>
      </w:pPr>
    </w:p>
    <w:p w14:paraId="3B33A169" w14:textId="5E86DCE0" w:rsidR="006155C7" w:rsidRPr="000350B1" w:rsidRDefault="006155C7">
      <w:pPr>
        <w:spacing w:after="0" w:line="240" w:lineRule="auto"/>
        <w:jc w:val="left"/>
        <w:rPr>
          <w:b/>
        </w:rPr>
      </w:pPr>
      <w:r w:rsidRPr="000350B1">
        <w:rPr>
          <w:b/>
        </w:rPr>
        <w:br w:type="page"/>
      </w:r>
    </w:p>
    <w:p w14:paraId="76D4658F" w14:textId="77777777" w:rsidR="00EF0C43" w:rsidRPr="000350B1" w:rsidRDefault="00EF0C43" w:rsidP="00E42CA2">
      <w:pPr>
        <w:rPr>
          <w:b/>
        </w:rPr>
      </w:pPr>
    </w:p>
    <w:p w14:paraId="46C4063F" w14:textId="77777777" w:rsidR="00235192" w:rsidRPr="000350B1" w:rsidRDefault="00235192" w:rsidP="00E42CA2">
      <w:pPr>
        <w:rPr>
          <w:b/>
        </w:rPr>
      </w:pPr>
      <w:r w:rsidRPr="000350B1">
        <w:rPr>
          <w:b/>
        </w:rPr>
        <w:t>Disclaimer:</w:t>
      </w:r>
    </w:p>
    <w:p w14:paraId="69307534" w14:textId="77777777" w:rsidR="008A7406" w:rsidRDefault="00235192" w:rsidP="00E42CA2">
      <w:pPr>
        <w:spacing w:line="480" w:lineRule="auto"/>
      </w:pPr>
      <w:r>
        <w:t>Die nachstehende</w:t>
      </w:r>
      <w:r w:rsidR="007A53A9">
        <w:t>n</w:t>
      </w:r>
      <w:r>
        <w:t xml:space="preserve"> Muster-Anlagebedingungen, darin enthaltene Musterbausteine, Erläuterungen und Formulierungen orientieren sich an den gesetzlichen Vorgaben</w:t>
      </w:r>
      <w:r w:rsidR="001A31EC">
        <w:t xml:space="preserve"> des </w:t>
      </w:r>
      <w:r>
        <w:t>KAGB.</w:t>
      </w:r>
    </w:p>
    <w:p w14:paraId="030D2F53" w14:textId="3219C49B" w:rsidR="00235192" w:rsidRDefault="00235192" w:rsidP="00E42CA2">
      <w:pPr>
        <w:spacing w:line="480" w:lineRule="auto"/>
      </w:pPr>
      <w:r w:rsidRPr="006155C7">
        <w:t xml:space="preserve">Sie sind </w:t>
      </w:r>
      <w:r w:rsidR="001A31EC" w:rsidRPr="006155C7">
        <w:t xml:space="preserve">vom BVI und seinen zuständigen </w:t>
      </w:r>
      <w:r w:rsidRPr="006155C7">
        <w:t>Gremien</w:t>
      </w:r>
      <w:r w:rsidR="001A31EC" w:rsidRPr="006155C7">
        <w:t xml:space="preserve"> </w:t>
      </w:r>
      <w:r w:rsidRPr="006155C7">
        <w:t xml:space="preserve">erarbeitet und mit der BaFin </w:t>
      </w:r>
      <w:r w:rsidR="00A63DF7" w:rsidRPr="006155C7">
        <w:t>unter aufsichtsrechtlichen Gesichtspunkten</w:t>
      </w:r>
      <w:r w:rsidR="00F60132" w:rsidRPr="006155C7">
        <w:t xml:space="preserve"> (und insbesondere nicht unter steuerrechtlichen Gesichtspunkten)</w:t>
      </w:r>
      <w:r w:rsidR="00A63DF7" w:rsidRPr="006155C7">
        <w:t xml:space="preserve"> </w:t>
      </w:r>
      <w:r w:rsidRPr="006155C7">
        <w:t>abgestimmt worden. Sie stellen eine Orientierungshilfe dar und sind nicht verbindlich; so können</w:t>
      </w:r>
      <w:r>
        <w:t xml:space="preserve"> sie etwa in Reihenfolge, Formulierung und Inhalt geändert werden. </w:t>
      </w:r>
      <w:r w:rsidR="00C71C71">
        <w:t xml:space="preserve">Der Verwender ist gehalten, die </w:t>
      </w:r>
      <w:r>
        <w:t>Muster-Anlagebedingungen für seine individuelle Nutzung genau zu prüfen und ggfs. entsprechend anzupassen.</w:t>
      </w:r>
    </w:p>
    <w:p w14:paraId="2BDD380E" w14:textId="77777777" w:rsidR="001A31EC" w:rsidRDefault="00235192" w:rsidP="00E42CA2">
      <w:pPr>
        <w:spacing w:line="480" w:lineRule="auto"/>
      </w:pPr>
      <w:r>
        <w:t>Die Muster-Anlagebedingungen wurden mit größtmöglicher Sorgfalt erstellt</w:t>
      </w:r>
      <w:r w:rsidR="001A31EC">
        <w:t xml:space="preserve">. Da ggfs. anderslautende Rechtsauffassungen </w:t>
      </w:r>
      <w:r w:rsidR="0060418E">
        <w:t xml:space="preserve">oder Fehler </w:t>
      </w:r>
      <w:r w:rsidR="001A31EC">
        <w:t>nicht ausgeschlossen werden können, erheben die Formulierungsvorschläge der Muster-Anlagebedingungen keinen Anspruch auf uneingeschränkte Rechtsgültigkeit.</w:t>
      </w:r>
    </w:p>
    <w:p w14:paraId="60BC2DB4" w14:textId="77777777" w:rsidR="00235192" w:rsidRPr="00235192" w:rsidRDefault="00235192" w:rsidP="00235192">
      <w:pPr>
        <w:spacing w:line="480" w:lineRule="auto"/>
        <w:jc w:val="left"/>
        <w:rPr>
          <w:b/>
        </w:rPr>
      </w:pPr>
      <w:r w:rsidRPr="00235192">
        <w:rPr>
          <w:b/>
        </w:rPr>
        <w:t xml:space="preserve">Der BVI </w:t>
      </w:r>
      <w:r w:rsidR="0060418E">
        <w:rPr>
          <w:b/>
        </w:rPr>
        <w:t>übernimmt</w:t>
      </w:r>
      <w:r w:rsidRPr="00235192">
        <w:rPr>
          <w:b/>
        </w:rPr>
        <w:t xml:space="preserve"> keine Haftung für den Inhalt der vorliegenden Muster-Anlagebedingungen.</w:t>
      </w:r>
    </w:p>
    <w:p w14:paraId="2E324136" w14:textId="77777777" w:rsidR="00235192" w:rsidRDefault="00235192" w:rsidP="00235192">
      <w:pPr>
        <w:spacing w:line="480" w:lineRule="auto"/>
        <w:jc w:val="left"/>
        <w:sectPr w:rsidR="00235192" w:rsidSect="00EA5517">
          <w:headerReference w:type="default" r:id="rId7"/>
          <w:footerReference w:type="default" r:id="rId8"/>
          <w:headerReference w:type="first" r:id="rId9"/>
          <w:pgSz w:w="11906" w:h="16838" w:code="9"/>
          <w:pgMar w:top="1418" w:right="2552" w:bottom="1985" w:left="1418" w:header="720" w:footer="720" w:gutter="0"/>
          <w:pgNumType w:start="1"/>
          <w:cols w:space="720"/>
          <w:titlePg/>
        </w:sectPr>
      </w:pPr>
    </w:p>
    <w:p w14:paraId="58FC80E5" w14:textId="77777777" w:rsidR="008A7406" w:rsidRDefault="008A7406">
      <w:pPr>
        <w:spacing w:line="480" w:lineRule="auto"/>
        <w:jc w:val="center"/>
        <w:rPr>
          <w:b/>
        </w:rPr>
      </w:pPr>
    </w:p>
    <w:p w14:paraId="69E9A795" w14:textId="77777777" w:rsidR="008A7406" w:rsidRDefault="008A7406">
      <w:pPr>
        <w:spacing w:line="480" w:lineRule="auto"/>
        <w:jc w:val="center"/>
        <w:rPr>
          <w:b/>
        </w:rPr>
      </w:pPr>
    </w:p>
    <w:p w14:paraId="43CEE987" w14:textId="52741776" w:rsidR="008A7406" w:rsidRDefault="008A7406">
      <w:pPr>
        <w:spacing w:line="480" w:lineRule="auto"/>
        <w:jc w:val="center"/>
      </w:pPr>
      <w:r>
        <w:rPr>
          <w:b/>
        </w:rPr>
        <w:t xml:space="preserve">Allgemeine </w:t>
      </w:r>
      <w:r w:rsidR="005E20FC">
        <w:rPr>
          <w:b/>
        </w:rPr>
        <w:t>Anlagebedingungen</w:t>
      </w:r>
      <w:r>
        <w:br/>
        <w:t>zur Regelung des Rechtsverhältnisses zwischen</w:t>
      </w:r>
      <w:r>
        <w:br/>
        <w:t>den Anlegern und</w:t>
      </w:r>
      <w:r>
        <w:br/>
        <w:t>der .........................., (Sitz),</w:t>
      </w:r>
      <w:r>
        <w:br/>
        <w:t>(„Gesel</w:t>
      </w:r>
      <w:r w:rsidR="00275DA5">
        <w:t>lschaft</w:t>
      </w:r>
      <w:r w:rsidR="00275DA5" w:rsidRPr="007A03DB">
        <w:t>“</w:t>
      </w:r>
      <w:r w:rsidR="00275DA5">
        <w:t>)</w:t>
      </w:r>
      <w:r w:rsidR="00275DA5">
        <w:br/>
      </w:r>
      <w:r w:rsidR="001F4851" w:rsidRPr="001F4851">
        <w:t xml:space="preserve">für </w:t>
      </w:r>
      <w:r w:rsidR="00AD6912" w:rsidRPr="001F4851">
        <w:t>d</w:t>
      </w:r>
      <w:r w:rsidR="00AD6912">
        <w:t>ie</w:t>
      </w:r>
      <w:r w:rsidR="00AD6912" w:rsidRPr="001F4851">
        <w:t xml:space="preserve"> </w:t>
      </w:r>
      <w:r w:rsidR="001F4851" w:rsidRPr="001F4851">
        <w:t>von der Gesellschaft verwaltete</w:t>
      </w:r>
      <w:r w:rsidR="00AD6912">
        <w:t>n</w:t>
      </w:r>
      <w:r>
        <w:br/>
        <w:t>Sondervermögen</w:t>
      </w:r>
      <w:r w:rsidR="005E20FC">
        <w:t xml:space="preserve"> gemäß der OGA</w:t>
      </w:r>
      <w:r w:rsidR="00215707">
        <w:t>W</w:t>
      </w:r>
      <w:r w:rsidR="005E20FC">
        <w:t>-Richtlinie</w:t>
      </w:r>
      <w:r>
        <w:t>, die nur in Verbindung</w:t>
      </w:r>
      <w:r>
        <w:br/>
        <w:t xml:space="preserve">mit den für das jeweilige </w:t>
      </w:r>
      <w:r w:rsidR="00B02ED6">
        <w:t>OGAW-</w:t>
      </w:r>
      <w:r>
        <w:t>Sondervermögen</w:t>
      </w:r>
      <w:r>
        <w:br/>
        <w:t xml:space="preserve">aufgestellten „Besonderen </w:t>
      </w:r>
      <w:r w:rsidR="005E20FC">
        <w:t>Anlage</w:t>
      </w:r>
      <w:r>
        <w:t>bedingungen“</w:t>
      </w:r>
      <w:r>
        <w:br/>
        <w:t>gelten.</w:t>
      </w:r>
    </w:p>
    <w:p w14:paraId="73E1B72F" w14:textId="77777777" w:rsidR="008A7406" w:rsidRDefault="008A7406">
      <w:pPr>
        <w:pStyle w:val="Paragr-berschr"/>
      </w:pPr>
      <w:r>
        <w:br w:type="page"/>
      </w:r>
      <w:r>
        <w:lastRenderedPageBreak/>
        <w:t>§ 1 Grundlagen</w:t>
      </w:r>
    </w:p>
    <w:p w14:paraId="353D696E" w14:textId="33A32F27" w:rsidR="00397A80" w:rsidRDefault="008A7406">
      <w:r>
        <w:t xml:space="preserve">1. Die Gesellschaft ist eine </w:t>
      </w:r>
      <w:r w:rsidR="003B0E33">
        <w:t>OGAW-</w:t>
      </w:r>
      <w:r>
        <w:t>Kapital</w:t>
      </w:r>
      <w:r w:rsidR="003B0E33">
        <w:t>verwaltungs</w:t>
      </w:r>
      <w:r>
        <w:t xml:space="preserve">gesellschaft und unterliegt den Vorschriften des </w:t>
      </w:r>
      <w:r w:rsidR="003B0E33">
        <w:t>Kapitalanlagegesetzbuchs (</w:t>
      </w:r>
      <w:r w:rsidR="00833ABB">
        <w:t>„</w:t>
      </w:r>
      <w:r w:rsidR="003B0E33">
        <w:t>KAGB</w:t>
      </w:r>
      <w:r w:rsidR="00833ABB">
        <w:t>“</w:t>
      </w:r>
      <w:r w:rsidR="003B0E33">
        <w:t>)</w:t>
      </w:r>
      <w:r>
        <w:t>.</w:t>
      </w:r>
    </w:p>
    <w:p w14:paraId="5246A396" w14:textId="27C5ED86" w:rsidR="006A2A94" w:rsidRDefault="008A7406">
      <w:pPr>
        <w:rPr>
          <w:rFonts w:cs="Arial"/>
        </w:rPr>
      </w:pPr>
      <w:r>
        <w:t xml:space="preserve">2. </w:t>
      </w:r>
      <w:r w:rsidR="00397A80">
        <w:t xml:space="preserve">Die </w:t>
      </w:r>
      <w:r w:rsidR="00EF0C43">
        <w:t>G</w:t>
      </w:r>
      <w:r w:rsidR="00397A80">
        <w:t>esellschaft</w:t>
      </w:r>
      <w:r>
        <w:t xml:space="preserve"> legt</w:t>
      </w:r>
      <w:r w:rsidR="00397A80">
        <w:t xml:space="preserve"> das</w:t>
      </w:r>
      <w:r>
        <w:t xml:space="preserve"> bei ihr eingelegte Geld im eigenen Namen für gemeinschaftliche Rechnung der Anleger nach dem Grundsatz der Risi</w:t>
      </w:r>
      <w:r w:rsidR="00FA0BB2">
        <w:t>ko</w:t>
      </w:r>
      <w:r>
        <w:t xml:space="preserve">mischung in den nach dem </w:t>
      </w:r>
      <w:r w:rsidR="003B0E33">
        <w:t xml:space="preserve">KAGB </w:t>
      </w:r>
      <w:r>
        <w:t xml:space="preserve">zugelassenen Vermögensgegenständen gesondert vom eigenen Vermögen in Form </w:t>
      </w:r>
      <w:r w:rsidR="00BB182D" w:rsidRPr="001F3F60">
        <w:t>eines</w:t>
      </w:r>
      <w:r w:rsidRPr="001F3F60">
        <w:t xml:space="preserve"> </w:t>
      </w:r>
      <w:r w:rsidR="000B7F06" w:rsidRPr="001F3F60">
        <w:t>OGAW-</w:t>
      </w:r>
      <w:r w:rsidRPr="001F3F60">
        <w:t>Sondervermögen</w:t>
      </w:r>
      <w:r w:rsidR="00BB182D" w:rsidRPr="001F3F60">
        <w:t>s</w:t>
      </w:r>
      <w:r w:rsidRPr="001F3F60">
        <w:t xml:space="preserve"> an. </w:t>
      </w:r>
      <w:r w:rsidR="00224394">
        <w:t>[</w:t>
      </w:r>
      <w:r w:rsidR="00C02C0C">
        <w:t xml:space="preserve">optional: </w:t>
      </w:r>
      <w:r w:rsidR="00D874B0" w:rsidRPr="00D55D2B">
        <w:t xml:space="preserve">Der Geschäftszweck des </w:t>
      </w:r>
      <w:r w:rsidR="00431714" w:rsidRPr="00D55D2B">
        <w:t>OGAW-</w:t>
      </w:r>
      <w:r w:rsidR="00D874B0" w:rsidRPr="00D55D2B">
        <w:t xml:space="preserve">Sondervermögens ist auf die Kapitalanlage gemäß einer festgelegten Anlagestrategie im Rahmen einer kollektiven Vermögensverwaltung mittels der bei ihm eingelegten Mittel beschränkt; eine operative Tätigkeit und eine aktive unternehmerische Bewirtschaftung der gehaltenen Vermögensgegenstände </w:t>
      </w:r>
      <w:proofErr w:type="gramStart"/>
      <w:r w:rsidR="00D874B0" w:rsidRPr="00D55D2B">
        <w:t>ist</w:t>
      </w:r>
      <w:proofErr w:type="gramEnd"/>
      <w:r w:rsidR="00D874B0" w:rsidRPr="00D55D2B">
        <w:t xml:space="preserve"> ausgeschlossen</w:t>
      </w:r>
      <w:r w:rsidR="004777A5" w:rsidRPr="00D55D2B">
        <w:t>.</w:t>
      </w:r>
      <w:r w:rsidR="00224394">
        <w:t>]</w:t>
      </w:r>
    </w:p>
    <w:p w14:paraId="589588B4" w14:textId="7AFE90F3" w:rsidR="00397A80" w:rsidRDefault="00E750D6">
      <w:r>
        <w:t>3</w:t>
      </w:r>
      <w:r w:rsidR="00B31BF0">
        <w:t>. Das Rechtsverhältnis</w:t>
      </w:r>
      <w:r w:rsidR="00397A80">
        <w:t xml:space="preserve"> zwischen </w:t>
      </w:r>
      <w:r w:rsidR="00EF0C43">
        <w:t>G</w:t>
      </w:r>
      <w:r w:rsidR="00954EA8">
        <w:t>esellschaft und dem</w:t>
      </w:r>
      <w:r w:rsidR="00397A80">
        <w:t xml:space="preserve"> Anleger </w:t>
      </w:r>
      <w:r w:rsidR="00B31BF0">
        <w:t>richtet</w:t>
      </w:r>
      <w:r w:rsidR="00397A80">
        <w:t xml:space="preserve"> sich nach d</w:t>
      </w:r>
      <w:r w:rsidR="00BB182D">
        <w:t>en Allgemeinen Anlagebedingungen (</w:t>
      </w:r>
      <w:proofErr w:type="spellStart"/>
      <w:r w:rsidR="00BB182D">
        <w:t>AABen</w:t>
      </w:r>
      <w:proofErr w:type="spellEnd"/>
      <w:r w:rsidR="00BB182D">
        <w:t>) und Besonderen Anlagebedingungen (</w:t>
      </w:r>
      <w:proofErr w:type="spellStart"/>
      <w:r w:rsidR="00BB182D">
        <w:t>BABen</w:t>
      </w:r>
      <w:proofErr w:type="spellEnd"/>
      <w:r w:rsidR="00BB182D">
        <w:t>) des OGAW-Sondervermögens</w:t>
      </w:r>
      <w:r w:rsidR="0063170B">
        <w:t xml:space="preserve"> </w:t>
      </w:r>
      <w:r w:rsidR="00397A80">
        <w:t xml:space="preserve">und dem </w:t>
      </w:r>
      <w:r w:rsidR="003B0E33">
        <w:t>KAGB</w:t>
      </w:r>
      <w:r w:rsidR="00397A80" w:rsidRPr="00607197">
        <w:t>.</w:t>
      </w:r>
      <w:r w:rsidR="002D64E9" w:rsidRPr="00607197">
        <w:t xml:space="preserve"> </w:t>
      </w:r>
    </w:p>
    <w:p w14:paraId="7BAA3B00" w14:textId="77777777" w:rsidR="008A7406" w:rsidRPr="000117B3" w:rsidRDefault="008A7406">
      <w:pPr>
        <w:pStyle w:val="Paragr-berschr"/>
        <w:rPr>
          <w:highlight w:val="yellow"/>
        </w:rPr>
      </w:pPr>
      <w:r w:rsidRPr="000A7EDB">
        <w:t xml:space="preserve">§ 2 </w:t>
      </w:r>
      <w:r w:rsidR="00213D22" w:rsidRPr="00C0573F">
        <w:t>Verwahrstelle</w:t>
      </w:r>
    </w:p>
    <w:p w14:paraId="4CA6787E" w14:textId="77777777" w:rsidR="008A7406" w:rsidRPr="000117B3" w:rsidRDefault="008A7406">
      <w:r w:rsidRPr="000117B3">
        <w:t xml:space="preserve">1. Die Gesellschaft bestellt </w:t>
      </w:r>
      <w:r w:rsidR="00E06041">
        <w:t>für das OGAW-Sondervermö</w:t>
      </w:r>
      <w:r w:rsidR="00914E5C">
        <w:t>gen</w:t>
      </w:r>
      <w:r w:rsidR="00E06041">
        <w:t xml:space="preserve"> </w:t>
      </w:r>
      <w:r w:rsidRPr="000117B3">
        <w:t xml:space="preserve">ein Kreditinstitut als </w:t>
      </w:r>
      <w:r w:rsidR="00213D22" w:rsidRPr="000117B3">
        <w:t>Verwahrstelle</w:t>
      </w:r>
      <w:r w:rsidRPr="000117B3">
        <w:t xml:space="preserve">; die </w:t>
      </w:r>
      <w:r w:rsidR="00213D22" w:rsidRPr="000117B3">
        <w:t>Verwahrstelle</w:t>
      </w:r>
      <w:r w:rsidRPr="000117B3">
        <w:t xml:space="preserve"> handelt unabhängig von der Gesellschaft und ausschließlich im Interesse der Anleger.</w:t>
      </w:r>
    </w:p>
    <w:p w14:paraId="29695F9A" w14:textId="027B4477" w:rsidR="0063170B" w:rsidRDefault="008A7406" w:rsidP="00FB6077">
      <w:r w:rsidRPr="000117B3">
        <w:t xml:space="preserve">2. </w:t>
      </w:r>
      <w:r w:rsidR="00703A64" w:rsidRPr="000117B3">
        <w:t xml:space="preserve">Die </w:t>
      </w:r>
      <w:r w:rsidR="00756DCB">
        <w:t xml:space="preserve">Aufgaben und Pflichten der </w:t>
      </w:r>
      <w:r w:rsidR="00213D22" w:rsidRPr="000117B3">
        <w:t>Verwahrstelle</w:t>
      </w:r>
      <w:r w:rsidRPr="000117B3">
        <w:t xml:space="preserve"> </w:t>
      </w:r>
      <w:r w:rsidR="00756DCB">
        <w:t xml:space="preserve">richten sich nach dem mit der Gesellschaft geschlossenen Verwahrstellenvertrag, </w:t>
      </w:r>
      <w:r w:rsidRPr="000117B3">
        <w:t>nach de</w:t>
      </w:r>
      <w:r w:rsidR="001359D1" w:rsidRPr="000117B3">
        <w:t xml:space="preserve">m </w:t>
      </w:r>
      <w:r w:rsidR="00213D22" w:rsidRPr="000117B3">
        <w:t>KAGB</w:t>
      </w:r>
      <w:r w:rsidR="001359D1" w:rsidRPr="000117B3">
        <w:t xml:space="preserve"> und d</w:t>
      </w:r>
      <w:r w:rsidR="00BB182D">
        <w:t xml:space="preserve">en </w:t>
      </w:r>
      <w:r w:rsidR="00BB182D" w:rsidRPr="00356165">
        <w:t>A</w:t>
      </w:r>
      <w:r w:rsidR="00833ABB" w:rsidRPr="00356165">
        <w:t>nlagebedingung</w:t>
      </w:r>
      <w:r w:rsidR="00BB182D" w:rsidRPr="00356165">
        <w:t>en</w:t>
      </w:r>
      <w:r w:rsidRPr="000117B3">
        <w:t>.</w:t>
      </w:r>
    </w:p>
    <w:p w14:paraId="4A856B04" w14:textId="77777777" w:rsidR="0063170B" w:rsidRDefault="00EB2247" w:rsidP="00FB6077">
      <w:r w:rsidRPr="0060418E">
        <w:lastRenderedPageBreak/>
        <w:t xml:space="preserve">3. Die Verwahrstelle kann </w:t>
      </w:r>
      <w:r w:rsidR="00082782" w:rsidRPr="0060418E">
        <w:t xml:space="preserve">Verwahraufgaben </w:t>
      </w:r>
      <w:r w:rsidR="00066722" w:rsidRPr="0060418E">
        <w:t xml:space="preserve">nach Maßgabe des § 73 KAGB auf </w:t>
      </w:r>
      <w:r w:rsidR="00914E5C">
        <w:t>ein anderes Unternehmen (</w:t>
      </w:r>
      <w:proofErr w:type="spellStart"/>
      <w:r w:rsidR="00914E5C">
        <w:t>Unterverwahrer</w:t>
      </w:r>
      <w:proofErr w:type="spellEnd"/>
      <w:r w:rsidR="00914E5C">
        <w:t xml:space="preserve">) </w:t>
      </w:r>
      <w:r w:rsidR="00B031D1">
        <w:t>auslagern</w:t>
      </w:r>
      <w:r w:rsidR="00ED2089" w:rsidRPr="0060418E">
        <w:t>.</w:t>
      </w:r>
      <w:r w:rsidR="00E52A06" w:rsidRPr="0060418E">
        <w:t xml:space="preserve"> </w:t>
      </w:r>
      <w:r w:rsidR="00FE56DE" w:rsidRPr="000E0FB8">
        <w:t xml:space="preserve">Näheres </w:t>
      </w:r>
      <w:r w:rsidR="00985703" w:rsidRPr="000E0FB8">
        <w:t xml:space="preserve">hierzu enthält der </w:t>
      </w:r>
      <w:r w:rsidR="0060418E" w:rsidRPr="000E0FB8">
        <w:t>Verkaufsprospekt</w:t>
      </w:r>
      <w:r w:rsidR="00985703" w:rsidRPr="000E0FB8">
        <w:t>.</w:t>
      </w:r>
    </w:p>
    <w:p w14:paraId="7B674AA5" w14:textId="7A1AAF27" w:rsidR="0063170B" w:rsidRDefault="00703A64" w:rsidP="00E06041">
      <w:r w:rsidRPr="0060418E">
        <w:t>4. Die Verwahrstelle haftet gegenüber de</w:t>
      </w:r>
      <w:r w:rsidR="00914E5C">
        <w:t>m OGAW-Sondervermögen</w:t>
      </w:r>
      <w:r w:rsidR="00BB2590">
        <w:t xml:space="preserve"> </w:t>
      </w:r>
      <w:r w:rsidRPr="0060418E">
        <w:t xml:space="preserve">oder </w:t>
      </w:r>
      <w:r w:rsidR="00E930DB">
        <w:t xml:space="preserve">gegenüber </w:t>
      </w:r>
      <w:r w:rsidRPr="0060418E">
        <w:t xml:space="preserve">den Anlegern für das Abhandenkommen eines verwahrten </w:t>
      </w:r>
      <w:r w:rsidR="00914E5C">
        <w:t xml:space="preserve">Finanzinstrumentes </w:t>
      </w:r>
      <w:r w:rsidR="003F57F2" w:rsidRPr="00356165">
        <w:t>im Sinne des § 72 Absatz 1 Nr. 1 KAGB</w:t>
      </w:r>
      <w:r w:rsidR="003F57F2">
        <w:t xml:space="preserve"> </w:t>
      </w:r>
      <w:r w:rsidRPr="0060418E">
        <w:t xml:space="preserve">durch die Verwahrstelle oder durch einen </w:t>
      </w:r>
      <w:proofErr w:type="spellStart"/>
      <w:r w:rsidR="00914E5C">
        <w:t>Unterverwahrer</w:t>
      </w:r>
      <w:proofErr w:type="spellEnd"/>
      <w:r w:rsidRPr="0060418E">
        <w:t xml:space="preserve">, dem die Verwahrung von </w:t>
      </w:r>
      <w:r w:rsidR="007A53A9">
        <w:t>Finanzinstrumente</w:t>
      </w:r>
      <w:r w:rsidR="00BB2590">
        <w:t>n</w:t>
      </w:r>
      <w:r w:rsidR="0063170B">
        <w:t xml:space="preserve"> </w:t>
      </w:r>
      <w:r w:rsidRPr="0060418E">
        <w:t>nach § 7</w:t>
      </w:r>
      <w:r w:rsidR="00E06041">
        <w:t>3</w:t>
      </w:r>
      <w:r w:rsidRPr="0060418E">
        <w:t xml:space="preserve"> Absatz 1 KAGB übertragen wurde. Die Verwahrstelle haftet nicht, wenn sie nachweisen kann, dass das </w:t>
      </w:r>
      <w:r w:rsidRPr="000E0FB8">
        <w:t>Abhandenkommen auf äußere Ereignisse zurückzuführen ist, deren Konsequenzen trotz aller angemessenen Gegenmaßnahmen unabwendbar waren</w:t>
      </w:r>
      <w:r w:rsidR="002A6354" w:rsidRPr="000E0FB8">
        <w:t>.</w:t>
      </w:r>
      <w:r w:rsidR="00E930DB" w:rsidRPr="000E0FB8">
        <w:t xml:space="preserve"> Weitergehende Ansprüche, die sich aus den Vorschriften des bürgerlichen Rechts auf Grund von Verträgen oder unerlaubten Handlungen ergeben, bleiben unberührt.</w:t>
      </w:r>
      <w:r w:rsidRPr="000E0FB8">
        <w:t xml:space="preserve"> </w:t>
      </w:r>
      <w:r w:rsidR="002A6354" w:rsidRPr="000E0FB8">
        <w:t xml:space="preserve">Die Verwahrstelle haftet auch gegenüber </w:t>
      </w:r>
      <w:r w:rsidR="00BB2590">
        <w:t>dem OGAW-Sondervermögen</w:t>
      </w:r>
      <w:r w:rsidR="002A6354" w:rsidRPr="000E0FB8">
        <w:t xml:space="preserve"> oder den Anlegern für sämtliche sonstigen Verluste, die diese dadurch erleiden, dass die Verwahrstelle fahrlässig oder vorsätzlich ihre Verpflichtungen </w:t>
      </w:r>
      <w:r w:rsidR="00E930DB" w:rsidRPr="000E0FB8">
        <w:t xml:space="preserve">nach den Vorschriften des KAGB </w:t>
      </w:r>
      <w:r w:rsidR="002A6354" w:rsidRPr="000E0FB8">
        <w:t>nicht erfüllt</w:t>
      </w:r>
      <w:r w:rsidR="002A6354" w:rsidRPr="0060418E">
        <w:t>.</w:t>
      </w:r>
      <w:r w:rsidR="0063170B">
        <w:t xml:space="preserve"> </w:t>
      </w:r>
      <w:r w:rsidRPr="00E06041">
        <w:t xml:space="preserve">Die Haftung der Verwahrstelle bleibt von einer etwaigen Übertragung der Verwahraufgaben nach </w:t>
      </w:r>
      <w:r w:rsidR="00963E63" w:rsidRPr="00E06041">
        <w:t xml:space="preserve">Absatz 3 </w:t>
      </w:r>
      <w:r w:rsidRPr="00E06041">
        <w:t>Satz 1 unberührt.</w:t>
      </w:r>
      <w:r>
        <w:t xml:space="preserve"> </w:t>
      </w:r>
    </w:p>
    <w:p w14:paraId="44A7A61C" w14:textId="77777777" w:rsidR="008A7406" w:rsidRDefault="008A7406" w:rsidP="00112E01">
      <w:pPr>
        <w:pStyle w:val="Paragr-berschr"/>
      </w:pPr>
      <w:r>
        <w:t>§ 3 Fondsverwaltung</w:t>
      </w:r>
    </w:p>
    <w:p w14:paraId="6E9C57E9" w14:textId="77777777" w:rsidR="009025F7" w:rsidRDefault="008A7406">
      <w:r>
        <w:t>1. Die Gesellschaft erwirbt und verwaltet d</w:t>
      </w:r>
      <w:r w:rsidR="001359D1">
        <w:t>ie Vermögensgegenstände im eige</w:t>
      </w:r>
      <w:r>
        <w:t xml:space="preserve">nen Namen für gemeinschaftliche Rechnung der Anleger mit der </w:t>
      </w:r>
      <w:r w:rsidR="00E06041">
        <w:t xml:space="preserve">gebotenen Sachkenntnis, </w:t>
      </w:r>
      <w:r w:rsidR="00DE7863">
        <w:t xml:space="preserve">Redlichkeit, </w:t>
      </w:r>
      <w:r>
        <w:t xml:space="preserve">Sorgfalt </w:t>
      </w:r>
      <w:r w:rsidR="00E06041">
        <w:t>und Gewissenhaftigkeit.</w:t>
      </w:r>
      <w:r w:rsidR="0063170B">
        <w:t xml:space="preserve"> </w:t>
      </w:r>
      <w:r>
        <w:t>Sie handel</w:t>
      </w:r>
      <w:r w:rsidR="001359D1">
        <w:t>t bei der Wahrnehmung ihrer Auf</w:t>
      </w:r>
      <w:r>
        <w:t xml:space="preserve">gaben unabhängig von der </w:t>
      </w:r>
      <w:r w:rsidR="002016EF">
        <w:t>Verwahrstelle</w:t>
      </w:r>
      <w:r>
        <w:t xml:space="preserve"> und ausschließlich im Interesse der Anleger</w:t>
      </w:r>
      <w:r w:rsidR="009025F7">
        <w:t>.</w:t>
      </w:r>
    </w:p>
    <w:p w14:paraId="7EE57A61" w14:textId="77777777" w:rsidR="008A7406" w:rsidRDefault="008A7406">
      <w:r>
        <w:t xml:space="preserve">2. Die Gesellschaft ist berechtigt, mit dem von den Anlegern eingelegten Geld die Vermögensgegenstände zu erwerben, diese wieder zu veräußern und den Erlös anderweitig anzulegen; </w:t>
      </w:r>
      <w:r>
        <w:lastRenderedPageBreak/>
        <w:t>sie ist ferner ermächtigt, alle sich aus der Verwaltung der Vermögensgegenstä</w:t>
      </w:r>
      <w:r w:rsidR="001359D1">
        <w:t>nde ergebenden sonstigen Rechts</w:t>
      </w:r>
      <w:r>
        <w:t>handlungen vorzunehmen.</w:t>
      </w:r>
    </w:p>
    <w:p w14:paraId="4494DB71" w14:textId="77777777" w:rsidR="008A7406" w:rsidRDefault="008A7406">
      <w:r>
        <w:t xml:space="preserve">3. Die Gesellschaft darf für gemeinschaftliche Rechnung der Anleger weder Gelddarlehen gewähren noch Verpflichtungen aus einem Bürgschafts- oder einem Garantievertrag eingehen; sie darf keine Vermögensgegenstände nach Maßgabe der §§ </w:t>
      </w:r>
      <w:r w:rsidR="00411656">
        <w:t>193</w:t>
      </w:r>
      <w:r>
        <w:t xml:space="preserve">, </w:t>
      </w:r>
      <w:r w:rsidR="00411656">
        <w:t>194</w:t>
      </w:r>
      <w:r>
        <w:t xml:space="preserve"> und </w:t>
      </w:r>
      <w:r w:rsidR="00411656">
        <w:t>196</w:t>
      </w:r>
      <w:r>
        <w:t xml:space="preserve"> </w:t>
      </w:r>
      <w:r w:rsidR="00411656">
        <w:t>KAGB</w:t>
      </w:r>
      <w:r w:rsidR="009C2D97">
        <w:t xml:space="preserve"> </w:t>
      </w:r>
      <w:r>
        <w:t xml:space="preserve">verkaufen, die im Zeitpunkt des Geschäftsabschlusses nicht zum </w:t>
      </w:r>
      <w:r w:rsidR="000B7F06">
        <w:t>OGAW-</w:t>
      </w:r>
      <w:r>
        <w:t xml:space="preserve">Sondervermögen gehören. § </w:t>
      </w:r>
      <w:r w:rsidR="00411656">
        <w:t xml:space="preserve">197 KAGB </w:t>
      </w:r>
      <w:r>
        <w:t>bleibt unberührt.</w:t>
      </w:r>
    </w:p>
    <w:p w14:paraId="1DB34FCD" w14:textId="77777777" w:rsidR="008A7406" w:rsidRDefault="008A7406">
      <w:pPr>
        <w:pStyle w:val="Paragr-berschr"/>
      </w:pPr>
      <w:r>
        <w:t>§ 4 Anlagegrundsätze</w:t>
      </w:r>
    </w:p>
    <w:p w14:paraId="03092579" w14:textId="77777777" w:rsidR="008A7406" w:rsidRDefault="00D874B0">
      <w:r>
        <w:rPr>
          <w:rFonts w:cs="Arial"/>
        </w:rPr>
        <w:t>D</w:t>
      </w:r>
      <w:r w:rsidRPr="00BC374B">
        <w:rPr>
          <w:rFonts w:cs="Arial"/>
        </w:rPr>
        <w:t xml:space="preserve">as </w:t>
      </w:r>
      <w:r>
        <w:rPr>
          <w:rFonts w:cs="Arial"/>
        </w:rPr>
        <w:t>OGAW-</w:t>
      </w:r>
      <w:r w:rsidRPr="00BC374B">
        <w:rPr>
          <w:rFonts w:cs="Arial"/>
        </w:rPr>
        <w:t xml:space="preserve">Sondervermögen </w:t>
      </w:r>
      <w:r>
        <w:rPr>
          <w:rFonts w:cs="Arial"/>
        </w:rPr>
        <w:t xml:space="preserve">wird unmittelbar oder mittelbar nach dem Grundsatz der Risikomischung </w:t>
      </w:r>
      <w:r w:rsidRPr="00BC374B">
        <w:rPr>
          <w:rFonts w:cs="Arial"/>
        </w:rPr>
        <w:t>angelegt.</w:t>
      </w:r>
      <w:r>
        <w:rPr>
          <w:rFonts w:cs="Arial"/>
        </w:rPr>
        <w:t xml:space="preserve"> </w:t>
      </w:r>
      <w:r w:rsidR="008A7406">
        <w:t xml:space="preserve">Die Gesellschaft soll für das </w:t>
      </w:r>
      <w:r w:rsidR="000B7F06">
        <w:t>OGAW-</w:t>
      </w:r>
      <w:r w:rsidR="008A7406">
        <w:t>Sond</w:t>
      </w:r>
      <w:r w:rsidR="001359D1">
        <w:t>ervermögen nur solche Vermögens</w:t>
      </w:r>
      <w:r w:rsidR="008A7406">
        <w:t xml:space="preserve">gegenstände erwerben, die Ertrag und/oder Wachstum erwarten lassen. Sie bestimmt in den </w:t>
      </w:r>
      <w:proofErr w:type="spellStart"/>
      <w:r w:rsidR="00DE7863">
        <w:t>BABen</w:t>
      </w:r>
      <w:proofErr w:type="spellEnd"/>
      <w:r w:rsidR="008A7406">
        <w:t xml:space="preserve">, welche Vermögensgegenstände für das </w:t>
      </w:r>
      <w:r w:rsidR="000B7F06">
        <w:t>OGAW-</w:t>
      </w:r>
      <w:r w:rsidR="008A7406">
        <w:t>Sondervermögen erworben werden dürfen.</w:t>
      </w:r>
    </w:p>
    <w:p w14:paraId="10EF36B3" w14:textId="77777777" w:rsidR="008A7406" w:rsidRDefault="008A7406">
      <w:pPr>
        <w:pStyle w:val="Paragr-berschr"/>
      </w:pPr>
      <w:r>
        <w:t>§ 5 Wertpapiere</w:t>
      </w:r>
    </w:p>
    <w:p w14:paraId="44123D28" w14:textId="77777777" w:rsidR="008A7406" w:rsidRDefault="008A7406">
      <w:r>
        <w:t xml:space="preserve">Sofern die </w:t>
      </w:r>
      <w:proofErr w:type="spellStart"/>
      <w:r w:rsidR="00770BF0">
        <w:t>BABen</w:t>
      </w:r>
      <w:proofErr w:type="spellEnd"/>
      <w:r>
        <w:t xml:space="preserve"> keine weiteren Einschränkungen vorsehen, darf die Gesellschaft vorbehaltlich des § </w:t>
      </w:r>
      <w:r w:rsidR="007D08C5">
        <w:t>198 KAGB</w:t>
      </w:r>
      <w:r>
        <w:t xml:space="preserve"> </w:t>
      </w:r>
      <w:r w:rsidR="00715638">
        <w:t>für R</w:t>
      </w:r>
      <w:r w:rsidR="00756DCB">
        <w:t xml:space="preserve">echnung des OGAW-Sondervermögens </w:t>
      </w:r>
      <w:r>
        <w:t>Wertpapiere nur erwerben, wenn</w:t>
      </w:r>
    </w:p>
    <w:p w14:paraId="0AC106FE" w14:textId="77777777" w:rsidR="0063170B" w:rsidRDefault="00897CBD" w:rsidP="00897CBD">
      <w:pPr>
        <w:tabs>
          <w:tab w:val="left" w:pos="284"/>
        </w:tabs>
      </w:pPr>
      <w:r>
        <w:t>a)</w:t>
      </w:r>
      <w:r>
        <w:tab/>
      </w:r>
      <w:r w:rsidR="008A7406">
        <w:t>sie an einer Börse in einem Mitgliedstaat der Europäischen Union oder in ei</w:t>
      </w:r>
      <w:r w:rsidR="008A7406">
        <w:softHyphen/>
        <w:t>nem anderen Vertragsstaat des Abkommens über den Europäischen Wirt</w:t>
      </w:r>
      <w:r w:rsidR="008A7406">
        <w:softHyphen/>
        <w:t xml:space="preserve">schaftsraum zum </w:t>
      </w:r>
      <w:r w:rsidR="00933C1F">
        <w:t>Handel</w:t>
      </w:r>
      <w:r w:rsidR="008A7406">
        <w:t xml:space="preserve"> zugelassen oder </w:t>
      </w:r>
      <w:r w:rsidR="007D08C5">
        <w:t>in einem dieser Staaten</w:t>
      </w:r>
      <w:r w:rsidR="00933C1F">
        <w:t xml:space="preserve"> an einem anderen organisierten Markt zugelassen oder in diesen</w:t>
      </w:r>
      <w:r w:rsidR="00933C1F" w:rsidRPr="004930AB">
        <w:t xml:space="preserve"> </w:t>
      </w:r>
      <w:r w:rsidR="008A7406">
        <w:t>einbezogen sind,</w:t>
      </w:r>
    </w:p>
    <w:p w14:paraId="2A36017C" w14:textId="526C69DB" w:rsidR="0063170B" w:rsidRDefault="00897CBD" w:rsidP="00897CBD">
      <w:pPr>
        <w:tabs>
          <w:tab w:val="left" w:pos="284"/>
        </w:tabs>
      </w:pPr>
      <w:r>
        <w:lastRenderedPageBreak/>
        <w:t>b)</w:t>
      </w:r>
      <w:r>
        <w:tab/>
      </w:r>
      <w:r w:rsidR="0020466D">
        <w:t>s</w:t>
      </w:r>
      <w:r w:rsidR="0020466D" w:rsidRPr="004930AB">
        <w:t>ie ausschließlich an einer Börse außerhalb der Mitgliedstaaten der Europäischen Union oder außerhalb der anderen Vertragsstaaten des Abkommens über den Europäischen Wirtschaftsraum</w:t>
      </w:r>
      <w:r w:rsidR="0020466D">
        <w:t xml:space="preserve"> </w:t>
      </w:r>
      <w:r w:rsidR="0020466D" w:rsidRPr="004930AB">
        <w:t>zum Handel</w:t>
      </w:r>
      <w:r w:rsidR="0020466D">
        <w:t xml:space="preserve"> </w:t>
      </w:r>
      <w:r w:rsidR="0020466D" w:rsidRPr="004930AB">
        <w:t xml:space="preserve">zugelassen oder </w:t>
      </w:r>
      <w:r w:rsidR="009B74B7">
        <w:t>in einem dieser Staaten</w:t>
      </w:r>
      <w:r w:rsidR="0020466D" w:rsidRPr="004930AB">
        <w:t xml:space="preserve"> </w:t>
      </w:r>
      <w:r w:rsidR="0020466D">
        <w:t>an einem anderen organisierten Markt zugelassen oder in diesen</w:t>
      </w:r>
      <w:r w:rsidR="0020466D" w:rsidRPr="004930AB">
        <w:t xml:space="preserve"> einbezogen sind, sofern die Wahl dieser Börse oder dieses organisierten Marktes von der</w:t>
      </w:r>
      <w:r w:rsidR="00EF17A1" w:rsidRPr="00EF17A1">
        <w:t xml:space="preserve"> </w:t>
      </w:r>
      <w:r w:rsidR="00EF17A1">
        <w:t>Bundesanstalt für Finanzdienstleistungsaufsicht (</w:t>
      </w:r>
      <w:r w:rsidR="00F373F6">
        <w:t>„</w:t>
      </w:r>
      <w:r w:rsidR="00EF17A1">
        <w:t>Bundesanstalt</w:t>
      </w:r>
      <w:r w:rsidR="00F373F6">
        <w:t>“</w:t>
      </w:r>
      <w:r w:rsidR="00EF17A1">
        <w:t>)</w:t>
      </w:r>
      <w:r w:rsidR="0020466D" w:rsidRPr="004930AB">
        <w:t xml:space="preserve"> zugelassen ist</w:t>
      </w:r>
      <w:r w:rsidR="00937C1D">
        <w:rPr>
          <w:rStyle w:val="Funotenzeichen"/>
        </w:rPr>
        <w:footnoteReference w:id="2"/>
      </w:r>
      <w:r w:rsidR="009805DF">
        <w:t>,</w:t>
      </w:r>
    </w:p>
    <w:p w14:paraId="74E3C943" w14:textId="77777777" w:rsidR="001E25D8" w:rsidRDefault="00897CBD" w:rsidP="00897CBD">
      <w:pPr>
        <w:tabs>
          <w:tab w:val="left" w:pos="284"/>
        </w:tabs>
      </w:pPr>
      <w:r>
        <w:t>c)</w:t>
      </w:r>
      <w:r>
        <w:tab/>
      </w:r>
      <w:r w:rsidR="008A7406">
        <w:t xml:space="preserve">ihre Zulassung </w:t>
      </w:r>
      <w:r w:rsidR="00F81605">
        <w:t>an einer Börse in einem Mitgliedstaat de</w:t>
      </w:r>
      <w:r w:rsidR="001359D1">
        <w:t>r Europäischen Union oder in ei</w:t>
      </w:r>
      <w:r w:rsidR="00F81605">
        <w:t>nem anderen Vertragsstaat des Abkommens über den Eur</w:t>
      </w:r>
      <w:r w:rsidR="001359D1">
        <w:t>opäischen Wirt</w:t>
      </w:r>
      <w:r w:rsidR="00F81605">
        <w:t xml:space="preserve">schaftsraum zum </w:t>
      </w:r>
      <w:r w:rsidR="00311B93">
        <w:t>Handel</w:t>
      </w:r>
      <w:r w:rsidR="008A7406">
        <w:t xml:space="preserve"> oder </w:t>
      </w:r>
      <w:r w:rsidR="009805DF">
        <w:t>ihre</w:t>
      </w:r>
      <w:r w:rsidR="00311B93">
        <w:t xml:space="preserve"> Zulassung an eine</w:t>
      </w:r>
      <w:r w:rsidR="00F81605">
        <w:t xml:space="preserve">m </w:t>
      </w:r>
      <w:r w:rsidR="00311B93">
        <w:t xml:space="preserve">organisierten </w:t>
      </w:r>
      <w:r w:rsidR="00F81605">
        <w:t xml:space="preserve">Markt </w:t>
      </w:r>
      <w:r w:rsidR="009D3112">
        <w:t xml:space="preserve">oder </w:t>
      </w:r>
      <w:r w:rsidR="009805DF">
        <w:t>ihre</w:t>
      </w:r>
      <w:r w:rsidR="008A7406">
        <w:t xml:space="preserve"> Einbeziehung in </w:t>
      </w:r>
      <w:r w:rsidR="00F81605">
        <w:t>diesen</w:t>
      </w:r>
      <w:r w:rsidR="00330617">
        <w:t xml:space="preserve"> Markt</w:t>
      </w:r>
      <w:r w:rsidR="00F81605">
        <w:t xml:space="preserve"> </w:t>
      </w:r>
      <w:r w:rsidR="001E25D8">
        <w:t>in einem Mitgliedstaat</w:t>
      </w:r>
      <w:r w:rsidR="00F81605" w:rsidRPr="004930AB">
        <w:t xml:space="preserve"> der Europäischen Union oder </w:t>
      </w:r>
      <w:r w:rsidR="001E25D8">
        <w:t xml:space="preserve">in einem </w:t>
      </w:r>
      <w:r w:rsidR="00F81605" w:rsidRPr="004930AB">
        <w:t>anderen Vertragsstaat des Abkommens über den Europäischen Wirtschaftsraum</w:t>
      </w:r>
      <w:r w:rsidR="00F81605">
        <w:t xml:space="preserve"> </w:t>
      </w:r>
      <w:r w:rsidR="00AD0C38">
        <w:t>nach den Ausga</w:t>
      </w:r>
      <w:r w:rsidR="008A7406">
        <w:t>bebedingungen zu beantragen ist</w:t>
      </w:r>
      <w:r w:rsidR="00E82508">
        <w:t>,</w:t>
      </w:r>
      <w:r w:rsidR="008A7406">
        <w:t xml:space="preserve"> </w:t>
      </w:r>
      <w:r w:rsidR="00E82508" w:rsidRPr="004930AB">
        <w:t xml:space="preserve">sofern </w:t>
      </w:r>
      <w:r w:rsidR="008A7406">
        <w:t xml:space="preserve">die Zulassung oder Einbeziehung </w:t>
      </w:r>
      <w:r w:rsidR="001E25D8">
        <w:t xml:space="preserve">dieser Wertpapiere </w:t>
      </w:r>
      <w:r w:rsidR="00275DA5">
        <w:t>inner</w:t>
      </w:r>
      <w:r w:rsidR="008A7406">
        <w:t>halb eines Jahres nach ihrer Ausgabe erfolgt,</w:t>
      </w:r>
    </w:p>
    <w:p w14:paraId="61ACF9A9" w14:textId="105F6522" w:rsidR="001E25D8" w:rsidRDefault="00AE723E" w:rsidP="00897CBD">
      <w:pPr>
        <w:tabs>
          <w:tab w:val="left" w:pos="284"/>
        </w:tabs>
      </w:pPr>
      <w:r>
        <w:t>d</w:t>
      </w:r>
      <w:r w:rsidR="00897CBD">
        <w:t>)</w:t>
      </w:r>
      <w:r w:rsidR="00897CBD">
        <w:tab/>
      </w:r>
      <w:r w:rsidR="001E25D8">
        <w:t xml:space="preserve">ihre Zulassung an einer Börse </w:t>
      </w:r>
      <w:r>
        <w:t xml:space="preserve">zum Handel </w:t>
      </w:r>
      <w:r w:rsidR="001E25D8">
        <w:t xml:space="preserve">oder </w:t>
      </w:r>
      <w:r w:rsidR="009805DF">
        <w:t>ihre</w:t>
      </w:r>
      <w:r w:rsidR="001E25D8">
        <w:t xml:space="preserve"> Zulassung an einem organisierten Markt oder d</w:t>
      </w:r>
      <w:r>
        <w:t>ie</w:t>
      </w:r>
      <w:r w:rsidR="001E25D8">
        <w:t xml:space="preserve"> Einbeziehung in diesen </w:t>
      </w:r>
      <w:r w:rsidR="00330617">
        <w:t xml:space="preserve">Markt </w:t>
      </w:r>
      <w:r>
        <w:t>außerhalb der</w:t>
      </w:r>
      <w:r w:rsidR="001E25D8">
        <w:t xml:space="preserve"> Mitgliedstaat</w:t>
      </w:r>
      <w:r>
        <w:t>en</w:t>
      </w:r>
      <w:r w:rsidR="001E25D8" w:rsidRPr="004930AB">
        <w:t xml:space="preserve"> der Europäischen Union oder </w:t>
      </w:r>
      <w:r>
        <w:t>außerhalb der</w:t>
      </w:r>
      <w:r w:rsidR="001E25D8">
        <w:t xml:space="preserve"> </w:t>
      </w:r>
      <w:r w:rsidR="001E25D8" w:rsidRPr="004930AB">
        <w:t>anderen Vertragsstaaten des Abkommens über den Europäischen Wirtschaftsraum</w:t>
      </w:r>
      <w:r w:rsidR="00AD0C38">
        <w:t xml:space="preserve"> nach den Ausga</w:t>
      </w:r>
      <w:r w:rsidR="001E25D8">
        <w:t xml:space="preserve">bebedingungen zu beantragen ist, </w:t>
      </w:r>
      <w:r w:rsidR="001E25D8" w:rsidRPr="004930AB">
        <w:t xml:space="preserve">sofern </w:t>
      </w:r>
      <w:r>
        <w:t xml:space="preserve">die Wahl dieser Börse oder </w:t>
      </w:r>
      <w:r w:rsidR="00675B7A">
        <w:t>dieses organisierten Marktes</w:t>
      </w:r>
      <w:r w:rsidR="001E25D8">
        <w:t xml:space="preserve"> </w:t>
      </w:r>
      <w:r w:rsidR="00675B7A">
        <w:t xml:space="preserve">von der Bundesanstalt zugelassen ist und </w:t>
      </w:r>
      <w:r w:rsidR="001E25D8">
        <w:t xml:space="preserve">die Zulassung oder Einbeziehung </w:t>
      </w:r>
      <w:r w:rsidR="00275DA5">
        <w:t>dieser Wertpapiere inner</w:t>
      </w:r>
      <w:r w:rsidR="001E25D8">
        <w:t>halb eines Jahres nach ihrer Ausgabe erfolgt,</w:t>
      </w:r>
    </w:p>
    <w:p w14:paraId="43F2BF02" w14:textId="77777777" w:rsidR="008A7406" w:rsidRDefault="00675B7A" w:rsidP="00897CBD">
      <w:pPr>
        <w:tabs>
          <w:tab w:val="left" w:pos="284"/>
        </w:tabs>
      </w:pPr>
      <w:r>
        <w:lastRenderedPageBreak/>
        <w:t>e</w:t>
      </w:r>
      <w:r w:rsidR="00897CBD">
        <w:t>)</w:t>
      </w:r>
      <w:r w:rsidR="00897CBD">
        <w:tab/>
      </w:r>
      <w:r w:rsidR="00264901">
        <w:t xml:space="preserve">sie </w:t>
      </w:r>
      <w:r w:rsidR="008A7406">
        <w:t xml:space="preserve">Aktien sind, die dem </w:t>
      </w:r>
      <w:r w:rsidR="000B7F06">
        <w:t>OGAW-</w:t>
      </w:r>
      <w:r w:rsidR="008A7406">
        <w:t>Sondervermögen bei einer Kapitalerhöhung aus Gesellschaftsmitteln zustehen,</w:t>
      </w:r>
    </w:p>
    <w:p w14:paraId="529677CF" w14:textId="77777777" w:rsidR="008A7406" w:rsidRDefault="00B506E0" w:rsidP="00897CBD">
      <w:pPr>
        <w:tabs>
          <w:tab w:val="left" w:pos="284"/>
        </w:tabs>
      </w:pPr>
      <w:r>
        <w:t>f</w:t>
      </w:r>
      <w:r w:rsidR="00897CBD">
        <w:t>)</w:t>
      </w:r>
      <w:r w:rsidR="00897CBD">
        <w:tab/>
      </w:r>
      <w:r w:rsidR="008A7406">
        <w:t>sie in Ausübung von Bezugsrechten</w:t>
      </w:r>
      <w:r w:rsidR="00905540">
        <w:t xml:space="preserve">, die zum </w:t>
      </w:r>
      <w:r w:rsidR="000B7F06">
        <w:t>OGAW-</w:t>
      </w:r>
      <w:r w:rsidR="00905540">
        <w:t>Sondervermögen gehören,</w:t>
      </w:r>
      <w:r w:rsidR="008A7406">
        <w:t xml:space="preserve"> erworben w</w:t>
      </w:r>
      <w:r w:rsidR="009025F7">
        <w:t>e</w:t>
      </w:r>
      <w:r w:rsidR="008A7406">
        <w:t>rden</w:t>
      </w:r>
      <w:r w:rsidR="009805DF">
        <w:t>,</w:t>
      </w:r>
    </w:p>
    <w:p w14:paraId="717F0FFF" w14:textId="77777777" w:rsidR="0063170B" w:rsidRDefault="00B506E0" w:rsidP="00897CBD">
      <w:pPr>
        <w:tabs>
          <w:tab w:val="left" w:pos="284"/>
        </w:tabs>
      </w:pPr>
      <w:r w:rsidRPr="00781796">
        <w:t>g</w:t>
      </w:r>
      <w:r w:rsidR="00897CBD">
        <w:t>)</w:t>
      </w:r>
      <w:r w:rsidR="00897CBD">
        <w:tab/>
      </w:r>
      <w:r w:rsidR="00937C1D">
        <w:t xml:space="preserve">sie </w:t>
      </w:r>
      <w:r w:rsidR="00F63954" w:rsidRPr="00781796">
        <w:t xml:space="preserve">Anteile an geschlossenen Fonds sind, </w:t>
      </w:r>
      <w:r w:rsidR="00755397" w:rsidRPr="00781796">
        <w:t xml:space="preserve">die </w:t>
      </w:r>
      <w:r w:rsidR="00F63954" w:rsidRPr="00781796">
        <w:t xml:space="preserve">die </w:t>
      </w:r>
      <w:r w:rsidR="00755397" w:rsidRPr="00781796">
        <w:t xml:space="preserve">in § </w:t>
      </w:r>
      <w:r w:rsidR="00330617">
        <w:t>193</w:t>
      </w:r>
      <w:r w:rsidR="00330617" w:rsidRPr="00781796">
        <w:t xml:space="preserve"> </w:t>
      </w:r>
      <w:r w:rsidR="007A53A9">
        <w:t>Absatz</w:t>
      </w:r>
      <w:r w:rsidR="00755397" w:rsidRPr="00781796">
        <w:t xml:space="preserve"> 1</w:t>
      </w:r>
      <w:r w:rsidR="0098551A" w:rsidRPr="00781796">
        <w:t xml:space="preserve"> Satz 1</w:t>
      </w:r>
      <w:r w:rsidR="00755397" w:rsidRPr="00781796">
        <w:t xml:space="preserve"> Nr. 7 </w:t>
      </w:r>
      <w:r w:rsidR="007A53A9">
        <w:t>KAGB</w:t>
      </w:r>
      <w:r w:rsidR="00F63954" w:rsidRPr="00781796">
        <w:t xml:space="preserve"> </w:t>
      </w:r>
      <w:r w:rsidR="00755397" w:rsidRPr="00781796">
        <w:t>genannten Kriterien erfüllen</w:t>
      </w:r>
      <w:r w:rsidR="00E82508" w:rsidRPr="00781796">
        <w:t>,</w:t>
      </w:r>
    </w:p>
    <w:p w14:paraId="329594A3" w14:textId="77777777" w:rsidR="00897332" w:rsidRPr="00E82508" w:rsidRDefault="00C05B6B" w:rsidP="00897CBD">
      <w:pPr>
        <w:tabs>
          <w:tab w:val="left" w:pos="284"/>
        </w:tabs>
      </w:pPr>
      <w:r>
        <w:t>h</w:t>
      </w:r>
      <w:r w:rsidR="00897CBD">
        <w:t>)</w:t>
      </w:r>
      <w:r w:rsidR="00897CBD">
        <w:tab/>
      </w:r>
      <w:r w:rsidR="00264901">
        <w:t xml:space="preserve">sie </w:t>
      </w:r>
      <w:r w:rsidR="00F63954">
        <w:t xml:space="preserve">Finanzinstrumente sind, die die in § </w:t>
      </w:r>
      <w:r w:rsidR="00330617">
        <w:t xml:space="preserve">193 </w:t>
      </w:r>
      <w:r w:rsidR="007A53A9">
        <w:t>Absatz</w:t>
      </w:r>
      <w:r w:rsidR="00F63954">
        <w:t xml:space="preserve"> 1</w:t>
      </w:r>
      <w:r w:rsidR="0098551A">
        <w:t xml:space="preserve"> Satz 1</w:t>
      </w:r>
      <w:r w:rsidR="00F63954">
        <w:t xml:space="preserve"> Nr. 8 </w:t>
      </w:r>
      <w:r w:rsidR="007A53A9">
        <w:t>KAGB</w:t>
      </w:r>
      <w:r w:rsidR="00F63954">
        <w:t xml:space="preserve"> </w:t>
      </w:r>
      <w:r w:rsidR="00F63954" w:rsidRPr="004930AB">
        <w:t xml:space="preserve">genannten Kriterien </w:t>
      </w:r>
      <w:r w:rsidR="00F63954">
        <w:t>erfüllen</w:t>
      </w:r>
      <w:r w:rsidR="001D6422">
        <w:t>.</w:t>
      </w:r>
    </w:p>
    <w:p w14:paraId="2F73F361" w14:textId="77777777" w:rsidR="00E82508" w:rsidRDefault="00E82508" w:rsidP="001D6422">
      <w:r w:rsidRPr="004930AB">
        <w:t xml:space="preserve">Der Erwerb von Wertpapieren nach Satz 1 </w:t>
      </w:r>
      <w:r w:rsidR="001D6422">
        <w:t xml:space="preserve">Buchstaben a) bis </w:t>
      </w:r>
      <w:r w:rsidR="00C05B6B">
        <w:t>d</w:t>
      </w:r>
      <w:r w:rsidR="001D6422">
        <w:t>)</w:t>
      </w:r>
      <w:r w:rsidRPr="004930AB">
        <w:t xml:space="preserve"> darf nur erfolgen, wenn</w:t>
      </w:r>
      <w:r w:rsidR="00C962F1">
        <w:t xml:space="preserve"> zusätzlich die Vor</w:t>
      </w:r>
      <w:r w:rsidR="00995FDC">
        <w:t>au</w:t>
      </w:r>
      <w:r w:rsidR="00C962F1">
        <w:t xml:space="preserve">ssetzungen des § </w:t>
      </w:r>
      <w:r w:rsidR="00330617">
        <w:t xml:space="preserve">193 </w:t>
      </w:r>
      <w:r w:rsidR="007A53A9">
        <w:t>Absatz</w:t>
      </w:r>
      <w:r w:rsidR="00330617">
        <w:t xml:space="preserve"> </w:t>
      </w:r>
      <w:r w:rsidR="00C962F1">
        <w:t xml:space="preserve">1 Satz 2 </w:t>
      </w:r>
      <w:r w:rsidR="007A53A9">
        <w:t>KAGB</w:t>
      </w:r>
      <w:r w:rsidRPr="004930AB">
        <w:t xml:space="preserve"> erfüllt sind</w:t>
      </w:r>
      <w:r w:rsidR="00C05B6B">
        <w:t>.</w:t>
      </w:r>
      <w:r w:rsidR="00897332">
        <w:t xml:space="preserve"> Erwerbbar sind auch Bezugsrechte, die aus Wertpapieren herrühren, </w:t>
      </w:r>
      <w:r w:rsidR="00311F2E">
        <w:t>welche</w:t>
      </w:r>
      <w:r w:rsidR="00897332">
        <w:t xml:space="preserve"> ihrerseits nach diesem § 5 erwerbbar sind.</w:t>
      </w:r>
    </w:p>
    <w:p w14:paraId="0E4C92A1" w14:textId="77777777" w:rsidR="008A7406" w:rsidRDefault="008A7406">
      <w:pPr>
        <w:pStyle w:val="Paragr-berschr"/>
      </w:pPr>
      <w:r>
        <w:t>§ 6 Geldmarktinstrumente</w:t>
      </w:r>
    </w:p>
    <w:p w14:paraId="2AA1DB6B" w14:textId="1D60FF48" w:rsidR="0063170B" w:rsidRDefault="008A7406" w:rsidP="00146396">
      <w:r>
        <w:t xml:space="preserve">1. Sofern die </w:t>
      </w:r>
      <w:proofErr w:type="spellStart"/>
      <w:r w:rsidR="00770BF0">
        <w:t>BABen</w:t>
      </w:r>
      <w:proofErr w:type="spellEnd"/>
      <w:r>
        <w:t xml:space="preserve"> keine weiteren Einschränkungen vorsehen, darf die Gesellschaft vorbehaltlich des § </w:t>
      </w:r>
      <w:r w:rsidR="00B70F1A">
        <w:t>198 KAGB</w:t>
      </w:r>
      <w:r>
        <w:t xml:space="preserve"> für Rechnung des </w:t>
      </w:r>
      <w:r w:rsidR="000B7F06">
        <w:t>OGAW-</w:t>
      </w:r>
      <w:r>
        <w:t xml:space="preserve">Sondervermögens Instrumente, die üblicherweise auf dem Geldmarkt gehandelt werden, sowie verzinsliche Wertpapiere, die zum Zeitpunkt ihres Erwerbs für das </w:t>
      </w:r>
      <w:r w:rsidR="000B7F06">
        <w:t>OGAW-</w:t>
      </w:r>
      <w:r>
        <w:t>Sondervermögen eine restliche Laufzeit von höchstens</w:t>
      </w:r>
      <w:r w:rsidR="008F2CE4">
        <w:t xml:space="preserve"> 397 Tagen</w:t>
      </w:r>
      <w:r>
        <w:t xml:space="preserve"> haben</w:t>
      </w:r>
      <w:r w:rsidR="008F2CE4">
        <w:t>,</w:t>
      </w:r>
      <w:r>
        <w:t xml:space="preserve"> deren Verzinsung nach den Ausgabebedingungen während ihrer gesamten Laufzeit regelmäßig, mindestens aber einmal in </w:t>
      </w:r>
      <w:r w:rsidR="008F2CE4">
        <w:t>397 Tagen</w:t>
      </w:r>
      <w:r>
        <w:t xml:space="preserve">, marktgerecht angepasst wird </w:t>
      </w:r>
      <w:r w:rsidR="008F2CE4" w:rsidRPr="004930AB">
        <w:t xml:space="preserve">oder deren Risikoprofil dem Risikoprofil solcher Wertpapiere entspricht </w:t>
      </w:r>
      <w:r>
        <w:t>(</w:t>
      </w:r>
      <w:r w:rsidR="00F373F6">
        <w:t>„</w:t>
      </w:r>
      <w:r>
        <w:t>Geldmarktins</w:t>
      </w:r>
      <w:r w:rsidR="00275DA5">
        <w:t>trumente</w:t>
      </w:r>
      <w:r w:rsidR="00F373F6">
        <w:t>“</w:t>
      </w:r>
      <w:r w:rsidR="00275DA5">
        <w:t>), erwer</w:t>
      </w:r>
      <w:r>
        <w:t>ben.</w:t>
      </w:r>
    </w:p>
    <w:p w14:paraId="1E6B62CD" w14:textId="77777777" w:rsidR="0063170B" w:rsidRDefault="008A7406" w:rsidP="00146396">
      <w:r>
        <w:lastRenderedPageBreak/>
        <w:t xml:space="preserve">Geldmarktinstrumente dürfen für das </w:t>
      </w:r>
      <w:r w:rsidR="000B7F06">
        <w:t>OGAW-</w:t>
      </w:r>
      <w:r>
        <w:t>Sondervermögen nur erworben werden, wenn sie</w:t>
      </w:r>
    </w:p>
    <w:p w14:paraId="18BA1E87" w14:textId="77777777" w:rsidR="00D17996" w:rsidRPr="00D17996" w:rsidRDefault="00897CBD" w:rsidP="00897CBD">
      <w:pPr>
        <w:tabs>
          <w:tab w:val="left" w:pos="284"/>
        </w:tabs>
      </w:pPr>
      <w:r>
        <w:t>a)</w:t>
      </w:r>
      <w:r>
        <w:tab/>
      </w:r>
      <w:r w:rsidR="00D17996" w:rsidRPr="004930AB">
        <w:t xml:space="preserve">an einer Börse in einem Mitgliedstaat der Europäischen Union oder in einem anderen Vertragsstaat des Abkommens über den Europäischen Wirtschaftsraum zum </w:t>
      </w:r>
      <w:r w:rsidR="00D17996">
        <w:t xml:space="preserve">Handel </w:t>
      </w:r>
      <w:r w:rsidR="00D17996" w:rsidRPr="004930AB">
        <w:t xml:space="preserve">zugelassen oder dort </w:t>
      </w:r>
      <w:r w:rsidR="00D17996">
        <w:t xml:space="preserve">an </w:t>
      </w:r>
      <w:r w:rsidR="00D17996" w:rsidRPr="004930AB">
        <w:t>eine</w:t>
      </w:r>
      <w:r w:rsidR="00D17996">
        <w:t>m</w:t>
      </w:r>
      <w:r w:rsidR="00D17996" w:rsidRPr="004930AB">
        <w:t xml:space="preserve"> anderen organisierten Markt </w:t>
      </w:r>
      <w:r w:rsidR="00D17996">
        <w:t xml:space="preserve">zugelassen oder in diesen </w:t>
      </w:r>
      <w:r w:rsidR="00D17996" w:rsidRPr="004930AB">
        <w:t>einbezogen sind,</w:t>
      </w:r>
    </w:p>
    <w:p w14:paraId="3731E288" w14:textId="06D70A1F" w:rsidR="00D17996" w:rsidRPr="00D17996" w:rsidRDefault="00897CBD" w:rsidP="00897CBD">
      <w:pPr>
        <w:tabs>
          <w:tab w:val="left" w:pos="284"/>
        </w:tabs>
      </w:pPr>
      <w:r>
        <w:t>b)</w:t>
      </w:r>
      <w:r>
        <w:tab/>
      </w:r>
      <w:r w:rsidR="00D17996" w:rsidRPr="004930AB">
        <w:t xml:space="preserve">ausschließlich an einer Börse außerhalb der Mitgliedstaaten der Europäischen Union oder außerhalb der anderen Vertragsstaaten des Abkommens über den Europäischen Wirtschaftsraum zum Handel zugelassen oder dort </w:t>
      </w:r>
      <w:r w:rsidR="00D17996">
        <w:t xml:space="preserve">an einem anderen organisierten Markt zugelassen oder </w:t>
      </w:r>
      <w:r w:rsidR="00D17996" w:rsidRPr="004930AB">
        <w:t xml:space="preserve">in </w:t>
      </w:r>
      <w:r w:rsidR="00D17996">
        <w:t xml:space="preserve">diesen </w:t>
      </w:r>
      <w:r w:rsidR="00D17996" w:rsidRPr="004930AB">
        <w:t xml:space="preserve">einbezogen sind, sofern die Wahl dieser Börse oder dieses organisierten Marktes von der Bundesanstalt zugelassen </w:t>
      </w:r>
      <w:proofErr w:type="gramStart"/>
      <w:r w:rsidR="00D17996" w:rsidRPr="004930AB">
        <w:t>ist</w:t>
      </w:r>
      <w:proofErr w:type="gramEnd"/>
      <w:r w:rsidR="00937C1D">
        <w:rPr>
          <w:rStyle w:val="Funotenzeichen"/>
        </w:rPr>
        <w:footnoteReference w:id="3"/>
      </w:r>
      <w:r w:rsidR="00D17996" w:rsidRPr="004930AB">
        <w:t>,</w:t>
      </w:r>
    </w:p>
    <w:p w14:paraId="0FCC4BCF" w14:textId="77777777" w:rsidR="0063170B" w:rsidRDefault="00897CBD" w:rsidP="00897CBD">
      <w:pPr>
        <w:tabs>
          <w:tab w:val="left" w:pos="284"/>
        </w:tabs>
      </w:pPr>
      <w:r>
        <w:t>c)</w:t>
      </w:r>
      <w:r>
        <w:tab/>
      </w:r>
      <w:r w:rsidR="00D17996" w:rsidRPr="004930AB">
        <w:t xml:space="preserve">von </w:t>
      </w:r>
      <w:r w:rsidR="008F48D3">
        <w:t>der Europäischen Union</w:t>
      </w:r>
      <w:r w:rsidR="00D17996" w:rsidRPr="004930AB">
        <w:t xml:space="preserve">, dem Bund, einem Sondervermögen des Bundes, einem Land, einem anderen </w:t>
      </w:r>
      <w:r w:rsidR="00D17996" w:rsidRPr="00D17996">
        <w:t>Mitgliedstaat</w:t>
      </w:r>
      <w:r w:rsidR="00D17996" w:rsidRPr="004930AB">
        <w:t xml:space="preserve"> oder einer anderen zentralstaatlichen, regionalen oder lokalen Gebietskörperschaft oder der Zentralbank eines Mitgliedstaates der Europäischen Union, der Europäischen Zentralbank oder der Europäischen Investitionsbank, einem Drittstaat oder, sofern dieser ein Bundesstaat ist, einem Gliedstaat dieses Bundesstaates oder von einer internationalen öffentlich-rechtlichen Einrichtung, der mindestens ein Mitgliedstaat der Europäischen Union angehört, begeben oder garantiert werden,</w:t>
      </w:r>
    </w:p>
    <w:p w14:paraId="2B84F3DB" w14:textId="77777777" w:rsidR="0063170B" w:rsidRDefault="00D968A5" w:rsidP="00897CBD">
      <w:pPr>
        <w:tabs>
          <w:tab w:val="left" w:pos="284"/>
        </w:tabs>
      </w:pPr>
      <w:r>
        <w:rPr>
          <w:szCs w:val="22"/>
        </w:rPr>
        <w:t>d)</w:t>
      </w:r>
      <w:r>
        <w:rPr>
          <w:szCs w:val="22"/>
        </w:rPr>
        <w:tab/>
      </w:r>
      <w:r w:rsidR="00D17996" w:rsidRPr="004930AB">
        <w:t xml:space="preserve">von einem Unternehmen begeben werden, dessen Wertpapiere auf den unter den </w:t>
      </w:r>
      <w:r w:rsidR="00AF139C">
        <w:t xml:space="preserve">Buchstaben a) und b) </w:t>
      </w:r>
      <w:r w:rsidR="00D17996" w:rsidRPr="004930AB">
        <w:t>bezeichneten Märkten gehandelt werden,</w:t>
      </w:r>
    </w:p>
    <w:p w14:paraId="268BE01E" w14:textId="50F0D1AF" w:rsidR="00D17996" w:rsidRPr="004930AB" w:rsidRDefault="00D968A5" w:rsidP="00D968A5">
      <w:pPr>
        <w:tabs>
          <w:tab w:val="left" w:pos="284"/>
        </w:tabs>
      </w:pPr>
      <w:r>
        <w:lastRenderedPageBreak/>
        <w:t>e)</w:t>
      </w:r>
      <w:r>
        <w:tab/>
      </w:r>
      <w:r w:rsidR="00D17996" w:rsidRPr="004930AB">
        <w:t>von einem Kreditinstitut, das nach de</w:t>
      </w:r>
      <w:r w:rsidR="00E06041">
        <w:t>n im</w:t>
      </w:r>
      <w:r w:rsidR="0063170B">
        <w:t xml:space="preserve"> </w:t>
      </w:r>
      <w:r w:rsidR="00C433CE">
        <w:t>Recht der Europäischen Union</w:t>
      </w:r>
      <w:r w:rsidR="00D17996" w:rsidRPr="004930AB">
        <w:t xml:space="preserve"> festgelegten Kriterien einer Aufsicht unterstellt ist, oder einem Kreditinstitut, das Aufsichtsbestimmungen, die nach Auffassung der Bundesanstalt denjenigen des </w:t>
      </w:r>
      <w:r w:rsidR="00C433CE">
        <w:t>Rechts der Europäischen Union</w:t>
      </w:r>
      <w:r w:rsidR="00D17996" w:rsidRPr="004930AB">
        <w:t xml:space="preserve"> gleichwertig sind, unterliegt und diese einhält, begeben oder garantiert</w:t>
      </w:r>
      <w:r w:rsidR="00FE1969">
        <w:t xml:space="preserve"> werden</w:t>
      </w:r>
      <w:r w:rsidR="00D17996" w:rsidRPr="004930AB">
        <w:t>, oder</w:t>
      </w:r>
    </w:p>
    <w:p w14:paraId="5F21A448" w14:textId="77777777" w:rsidR="0063170B" w:rsidRDefault="00D968A5" w:rsidP="00D968A5">
      <w:pPr>
        <w:tabs>
          <w:tab w:val="left" w:pos="284"/>
        </w:tabs>
      </w:pPr>
      <w:r>
        <w:t>f)</w:t>
      </w:r>
      <w:r>
        <w:tab/>
      </w:r>
      <w:r w:rsidR="00D17996" w:rsidRPr="004930AB">
        <w:t>von anderen Emittenten begeben werden und</w:t>
      </w:r>
      <w:r w:rsidR="009025F7">
        <w:t xml:space="preserve"> diese</w:t>
      </w:r>
      <w:r w:rsidR="00D17996" w:rsidRPr="004930AB">
        <w:t xml:space="preserve"> </w:t>
      </w:r>
      <w:r w:rsidR="00C613A9">
        <w:t>den Anforderungen des §</w:t>
      </w:r>
      <w:r w:rsidR="00264901">
        <w:t> </w:t>
      </w:r>
      <w:r w:rsidR="00E84869">
        <w:t xml:space="preserve">194 </w:t>
      </w:r>
      <w:r w:rsidR="007A53A9">
        <w:t>Absatz</w:t>
      </w:r>
      <w:r w:rsidR="00FE5C3B">
        <w:t xml:space="preserve"> </w:t>
      </w:r>
      <w:r w:rsidR="00C613A9">
        <w:t xml:space="preserve">1 Satz 1 </w:t>
      </w:r>
      <w:r w:rsidR="002C1376">
        <w:t>Nr.</w:t>
      </w:r>
      <w:r w:rsidR="00E84869">
        <w:t xml:space="preserve"> </w:t>
      </w:r>
      <w:r w:rsidR="002C1376">
        <w:t>6</w:t>
      </w:r>
      <w:r w:rsidR="008C6D60">
        <w:t xml:space="preserve"> </w:t>
      </w:r>
      <w:r w:rsidR="00E84869">
        <w:t>KAGB</w:t>
      </w:r>
      <w:r w:rsidR="002C1376">
        <w:t xml:space="preserve"> entsprechen.</w:t>
      </w:r>
    </w:p>
    <w:p w14:paraId="28A83FA4" w14:textId="77777777" w:rsidR="00D17996" w:rsidRPr="004930AB" w:rsidRDefault="00183840" w:rsidP="00C935BA">
      <w:r>
        <w:t>2.</w:t>
      </w:r>
      <w:r w:rsidR="00D17996" w:rsidRPr="004930AB">
        <w:t xml:space="preserve"> Geldmarktinstrumente im Sinn</w:t>
      </w:r>
      <w:r w:rsidR="00D17996">
        <w:t>e</w:t>
      </w:r>
      <w:r w:rsidR="00D17996" w:rsidRPr="004930AB">
        <w:t xml:space="preserve"> des Absatzes 1 dürfen nur erworben werden, wenn sie die</w:t>
      </w:r>
      <w:r w:rsidR="00153FB4">
        <w:t xml:space="preserve"> jeweiligen</w:t>
      </w:r>
      <w:r w:rsidR="00D17996" w:rsidRPr="004930AB">
        <w:t xml:space="preserve"> Voraussetzungen </w:t>
      </w:r>
      <w:r w:rsidR="00D17996">
        <w:t>des</w:t>
      </w:r>
      <w:r w:rsidR="004D5B37">
        <w:t xml:space="preserve"> § </w:t>
      </w:r>
      <w:r w:rsidR="00F5757C">
        <w:t xml:space="preserve">194 </w:t>
      </w:r>
      <w:r w:rsidR="007A53A9">
        <w:t>Absatz</w:t>
      </w:r>
      <w:r w:rsidR="004D5B37">
        <w:t xml:space="preserve"> 2</w:t>
      </w:r>
      <w:r w:rsidR="00153FB4">
        <w:t xml:space="preserve"> und 3</w:t>
      </w:r>
      <w:r w:rsidR="004D5B37">
        <w:t xml:space="preserve"> </w:t>
      </w:r>
      <w:r w:rsidR="00F5757C">
        <w:t xml:space="preserve">KAGB </w:t>
      </w:r>
      <w:r w:rsidR="004D5B37">
        <w:t>erfüllen</w:t>
      </w:r>
      <w:r w:rsidR="000B416D" w:rsidRPr="004930AB">
        <w:t>.</w:t>
      </w:r>
    </w:p>
    <w:p w14:paraId="599E361E" w14:textId="77777777" w:rsidR="008A7406" w:rsidRPr="00531371" w:rsidRDefault="008A7406" w:rsidP="00531371">
      <w:pPr>
        <w:pStyle w:val="Paragr-berschr"/>
      </w:pPr>
      <w:r w:rsidRPr="00531371">
        <w:t>§ 7 Bankguthaben</w:t>
      </w:r>
    </w:p>
    <w:p w14:paraId="258EF7F0" w14:textId="37078D92" w:rsidR="008A7406" w:rsidRDefault="008A7406" w:rsidP="00146396">
      <w:r>
        <w:t xml:space="preserve">Die Gesellschaft darf für Rechnung des </w:t>
      </w:r>
      <w:r w:rsidR="000B7F06">
        <w:t>OGAW-</w:t>
      </w:r>
      <w:r>
        <w:t xml:space="preserve">Sondervermögens Bankguthaben halten, die eine Laufzeit von höchstens zwölf Monaten haben. Die auf Sperrkonten zu führenden Guthaben können bei einem Kreditinstitut mit Sitz in einem Mitgliedstaat der Europäischen Union oder einem anderen Vertragsstaat des Abkommens über den Europäischen Wirtschaftsraum unterhalten werden; die Guthaben können auch bei einem Kreditinstitut mit Sitz in einem Drittstaat, dessen Aufsichtsbestimmungen nach Auffassung der Bundesanstalt denjenigen des </w:t>
      </w:r>
      <w:r w:rsidR="00ED7DF5">
        <w:t xml:space="preserve">Rechts der Europäischen Union </w:t>
      </w:r>
      <w:r>
        <w:t xml:space="preserve">gleichwertig sind, gehalten werden. Sofern in den </w:t>
      </w:r>
      <w:proofErr w:type="spellStart"/>
      <w:r w:rsidR="00770BF0">
        <w:t>BABen</w:t>
      </w:r>
      <w:proofErr w:type="spellEnd"/>
      <w:r w:rsidR="00112E01">
        <w:t xml:space="preserve"> </w:t>
      </w:r>
      <w:r>
        <w:t>nichts anderes bestimmt ist, können die Bankguthaben auch auf Fremdwährung lauten.</w:t>
      </w:r>
    </w:p>
    <w:p w14:paraId="78CA8042" w14:textId="77777777" w:rsidR="008A7406" w:rsidRDefault="008A7406">
      <w:pPr>
        <w:pStyle w:val="Paragr-berschr"/>
      </w:pPr>
      <w:r>
        <w:t>§ 8 Investmentanteile</w:t>
      </w:r>
    </w:p>
    <w:p w14:paraId="0BA76E86" w14:textId="63B2DB0F" w:rsidR="008A7406" w:rsidRDefault="008A7406" w:rsidP="00146396">
      <w:r>
        <w:t xml:space="preserve">1. Sofern in den </w:t>
      </w:r>
      <w:proofErr w:type="spellStart"/>
      <w:r w:rsidR="00DE7863">
        <w:t>BABen</w:t>
      </w:r>
      <w:proofErr w:type="spellEnd"/>
      <w:r w:rsidR="0063170B">
        <w:t xml:space="preserve"> </w:t>
      </w:r>
      <w:r>
        <w:t xml:space="preserve">nichts </w:t>
      </w:r>
      <w:r w:rsidR="00E82D1D">
        <w:t>A</w:t>
      </w:r>
      <w:r>
        <w:t xml:space="preserve">nderweitiges bestimmt ist, kann die Gesellschaft für Rechnung </w:t>
      </w:r>
      <w:r w:rsidR="004C770C">
        <w:t xml:space="preserve">des </w:t>
      </w:r>
      <w:r w:rsidR="000B7F06">
        <w:t>OGAW-</w:t>
      </w:r>
      <w:r>
        <w:t xml:space="preserve">Sondervermögens Anteile an </w:t>
      </w:r>
      <w:r w:rsidR="00CA0E71">
        <w:t>Investmentvermögen gemäß der Richtlinie</w:t>
      </w:r>
      <w:r w:rsidR="002A6354">
        <w:t xml:space="preserve"> </w:t>
      </w:r>
      <w:r w:rsidR="00E06041">
        <w:t xml:space="preserve">2009/65/EG </w:t>
      </w:r>
      <w:r w:rsidR="002A6354">
        <w:t>(OGAW)</w:t>
      </w:r>
      <w:r>
        <w:t xml:space="preserve"> erwerben. </w:t>
      </w:r>
      <w:r w:rsidR="00703A64">
        <w:t>Anteile an anderen inländischen Sondervermögen und In</w:t>
      </w:r>
      <w:r w:rsidR="00703A64">
        <w:lastRenderedPageBreak/>
        <w:t xml:space="preserve">vestmentaktiengesellschaften mit veränderlichem Kapital sowie Anteile an </w:t>
      </w:r>
      <w:r w:rsidR="00897794">
        <w:t xml:space="preserve">offenen EU-AIF und </w:t>
      </w:r>
      <w:r w:rsidR="00703A64">
        <w:t xml:space="preserve">ausländischen offenen </w:t>
      </w:r>
      <w:r w:rsidR="00897794">
        <w:t>AIF</w:t>
      </w:r>
      <w:r w:rsidR="00703A64">
        <w:t xml:space="preserve">, können erworben werden, sofern sie die Anforderungen des § 196 </w:t>
      </w:r>
      <w:r w:rsidR="007A53A9">
        <w:t>Absatz</w:t>
      </w:r>
      <w:r w:rsidR="00FE5C3B">
        <w:t xml:space="preserve"> </w:t>
      </w:r>
      <w:r w:rsidR="00703A64">
        <w:t>1 Satz 2 KAGB erfüllen.</w:t>
      </w:r>
    </w:p>
    <w:p w14:paraId="3147B89D" w14:textId="1675CF4B" w:rsidR="0083068D" w:rsidRDefault="008A7406" w:rsidP="00673D80">
      <w:r>
        <w:t>2. Anteile an inländischen Sondervermögen und Investmentaktiengesellschaften</w:t>
      </w:r>
      <w:r w:rsidR="00194E0D">
        <w:t xml:space="preserve"> mit veränderlichem Kapital</w:t>
      </w:r>
      <w:r>
        <w:t xml:space="preserve">, </w:t>
      </w:r>
      <w:r w:rsidR="0072313C">
        <w:t xml:space="preserve">an </w:t>
      </w:r>
      <w:r w:rsidR="0077393E">
        <w:t>EU</w:t>
      </w:r>
      <w:r>
        <w:t>-</w:t>
      </w:r>
      <w:r w:rsidR="00194E0D">
        <w:t>OGAW</w:t>
      </w:r>
      <w:r w:rsidR="00897794">
        <w:t>, an offenen EU-AIF</w:t>
      </w:r>
      <w:r w:rsidR="00194E0D">
        <w:t xml:space="preserve"> </w:t>
      </w:r>
      <w:r>
        <w:t xml:space="preserve">und </w:t>
      </w:r>
      <w:r w:rsidR="0072313C">
        <w:t xml:space="preserve">an </w:t>
      </w:r>
      <w:r>
        <w:t>ausländische</w:t>
      </w:r>
      <w:r w:rsidR="001A422F">
        <w:t>n</w:t>
      </w:r>
      <w:r>
        <w:t xml:space="preserve"> </w:t>
      </w:r>
      <w:r w:rsidR="001A422F">
        <w:t xml:space="preserve">offenen </w:t>
      </w:r>
      <w:r w:rsidR="00897794">
        <w:t>AIF</w:t>
      </w:r>
      <w:r w:rsidR="001A422F">
        <w:t>,</w:t>
      </w:r>
      <w:r>
        <w:t xml:space="preserve"> darf die Gesellschaft nur erwerben, wenn nach den </w:t>
      </w:r>
      <w:r w:rsidR="001A422F">
        <w:t>Anlage</w:t>
      </w:r>
      <w:r>
        <w:t>bedingungen oder der Satzung der Kapital</w:t>
      </w:r>
      <w:r w:rsidR="000B140F">
        <w:t>verwaltungs</w:t>
      </w:r>
      <w:r>
        <w:t xml:space="preserve">gesellschaft, der Investmentaktiengesellschaft </w:t>
      </w:r>
      <w:r w:rsidR="000B140F">
        <w:t>mit veränderlichem Kapital</w:t>
      </w:r>
      <w:r w:rsidR="00897794">
        <w:t>, des EU-Investmentvermögens, der EU-Verwaltungsgesellschaft,</w:t>
      </w:r>
      <w:r w:rsidR="000B140F">
        <w:t xml:space="preserve"> </w:t>
      </w:r>
      <w:r w:rsidR="006E5563">
        <w:t xml:space="preserve">des ausländischen </w:t>
      </w:r>
      <w:r w:rsidR="00897794">
        <w:t>AIF</w:t>
      </w:r>
      <w:r w:rsidR="006E5563">
        <w:t xml:space="preserve"> oder </w:t>
      </w:r>
      <w:r>
        <w:t xml:space="preserve">der ausländischen </w:t>
      </w:r>
      <w:r w:rsidR="00897794">
        <w:t>AIF-</w:t>
      </w:r>
      <w:r w:rsidR="006E5563">
        <w:t>Verwaltungs</w:t>
      </w:r>
      <w:r>
        <w:t>gesellschaft insgesamt höchstens 10 Prozent des Wertes ihres Vermögens in Anteilen an anderen inländischen Sondervermögen, Investmentaktiengesellschaften</w:t>
      </w:r>
      <w:r w:rsidR="006E5563">
        <w:t xml:space="preserve"> mit veränderlichem Kapital</w:t>
      </w:r>
      <w:r w:rsidR="00897794">
        <w:t>, offenen EU-Investmentvermögen</w:t>
      </w:r>
      <w:r>
        <w:t xml:space="preserve"> oder ausländischen </w:t>
      </w:r>
      <w:r w:rsidR="00FE5C3B">
        <w:t xml:space="preserve">offenen </w:t>
      </w:r>
      <w:r w:rsidR="00897794">
        <w:t xml:space="preserve">AIF </w:t>
      </w:r>
      <w:r>
        <w:t>angelegt werden dürfen.</w:t>
      </w:r>
    </w:p>
    <w:p w14:paraId="27821FC6" w14:textId="77777777" w:rsidR="008A7406" w:rsidRDefault="008A7406">
      <w:pPr>
        <w:pStyle w:val="Paragr-berschr"/>
      </w:pPr>
      <w:r>
        <w:t>§ 9 Derivate</w:t>
      </w:r>
    </w:p>
    <w:p w14:paraId="4609C65F" w14:textId="77777777" w:rsidR="0063170B" w:rsidRDefault="009228A7" w:rsidP="00FA0BB2">
      <w:r w:rsidRPr="004C770C">
        <w:t xml:space="preserve">1. Sofern in den </w:t>
      </w:r>
      <w:proofErr w:type="spellStart"/>
      <w:r w:rsidR="00770BF0">
        <w:t>BABen</w:t>
      </w:r>
      <w:proofErr w:type="spellEnd"/>
      <w:r w:rsidR="00770BF0">
        <w:t xml:space="preserve"> </w:t>
      </w:r>
      <w:r w:rsidRPr="004C770C">
        <w:t xml:space="preserve">nichts </w:t>
      </w:r>
      <w:r w:rsidR="00E82D1D" w:rsidRPr="004C770C">
        <w:t>A</w:t>
      </w:r>
      <w:r w:rsidRPr="004C770C">
        <w:t xml:space="preserve">nderweitiges bestimmt ist, kann die Gesellschaft im Rahmen der Verwaltung des </w:t>
      </w:r>
      <w:r w:rsidR="000B7F06">
        <w:t>OGAW-</w:t>
      </w:r>
      <w:r w:rsidRPr="004C770C">
        <w:t>Sondervermögens Derivate</w:t>
      </w:r>
      <w:r w:rsidR="00D92557" w:rsidRPr="004C770C">
        <w:t xml:space="preserve"> </w:t>
      </w:r>
      <w:r w:rsidR="000B68CC" w:rsidRPr="004C770C">
        <w:t>gemäß §</w:t>
      </w:r>
      <w:r w:rsidR="007C1297">
        <w:t> </w:t>
      </w:r>
      <w:r w:rsidR="00D45315" w:rsidRPr="004C770C">
        <w:t>197</w:t>
      </w:r>
      <w:r w:rsidR="000B68CC" w:rsidRPr="004C770C">
        <w:t xml:space="preserve"> </w:t>
      </w:r>
      <w:r w:rsidR="007A53A9">
        <w:t>Absatz</w:t>
      </w:r>
      <w:r w:rsidR="000B68CC" w:rsidRPr="004C770C">
        <w:t xml:space="preserve"> 1 Satz 1 </w:t>
      </w:r>
      <w:r w:rsidR="007A53A9">
        <w:t>KAGB</w:t>
      </w:r>
      <w:r w:rsidR="000B68CC" w:rsidRPr="004C770C">
        <w:t xml:space="preserve"> </w:t>
      </w:r>
      <w:r w:rsidR="00D92557" w:rsidRPr="004C770C">
        <w:t>und Finanzinstrumente mit derivativer Komponente</w:t>
      </w:r>
      <w:r w:rsidRPr="004C770C">
        <w:t xml:space="preserve"> </w:t>
      </w:r>
      <w:r w:rsidR="00280046" w:rsidRPr="004C770C">
        <w:t xml:space="preserve">gemäß </w:t>
      </w:r>
      <w:r w:rsidR="00D92557" w:rsidRPr="004C770C">
        <w:t>§</w:t>
      </w:r>
      <w:r w:rsidR="00500383" w:rsidRPr="004C770C">
        <w:t xml:space="preserve"> </w:t>
      </w:r>
      <w:r w:rsidR="00D45315" w:rsidRPr="004C770C">
        <w:t xml:space="preserve">197 </w:t>
      </w:r>
      <w:r w:rsidR="007A53A9">
        <w:t>Absatz</w:t>
      </w:r>
      <w:r w:rsidR="00500383" w:rsidRPr="004C770C">
        <w:t xml:space="preserve"> 1 </w:t>
      </w:r>
      <w:r w:rsidR="000B68CC" w:rsidRPr="004C770C">
        <w:t xml:space="preserve">Satz 2 </w:t>
      </w:r>
      <w:r w:rsidR="007A53A9">
        <w:t>KAGB</w:t>
      </w:r>
      <w:r w:rsidR="00500383" w:rsidRPr="004C770C">
        <w:t xml:space="preserve"> </w:t>
      </w:r>
      <w:r w:rsidRPr="004C770C">
        <w:t xml:space="preserve">einsetzen. Sie darf – der Art und dem Umfang der eingesetzten Derivate </w:t>
      </w:r>
      <w:r w:rsidR="00500383" w:rsidRPr="004C770C">
        <w:t xml:space="preserve">und Finanzinstrumente mit derivativer Komponente </w:t>
      </w:r>
      <w:r w:rsidRPr="004C770C">
        <w:t xml:space="preserve">entsprechend </w:t>
      </w:r>
      <w:r w:rsidR="0063170B" w:rsidRPr="004C770C">
        <w:t>–</w:t>
      </w:r>
      <w:r w:rsidRPr="004C770C">
        <w:t xml:space="preserve"> zur Ermittlung der Auslastung der nac</w:t>
      </w:r>
      <w:r w:rsidR="00E82D1D" w:rsidRPr="004C770C">
        <w:t xml:space="preserve">h § </w:t>
      </w:r>
      <w:r w:rsidR="00D45315" w:rsidRPr="004C770C">
        <w:t xml:space="preserve">197 </w:t>
      </w:r>
      <w:r w:rsidR="007A53A9">
        <w:t>Absatz</w:t>
      </w:r>
      <w:r w:rsidR="00E82D1D" w:rsidRPr="004C770C">
        <w:t xml:space="preserve"> 2 </w:t>
      </w:r>
      <w:r w:rsidR="007A53A9">
        <w:t>KAGB</w:t>
      </w:r>
      <w:r w:rsidR="00E82D1D" w:rsidRPr="004C770C">
        <w:t xml:space="preserve"> festgesetzte</w:t>
      </w:r>
      <w:r w:rsidR="00F9545F" w:rsidRPr="004C770C">
        <w:t>n</w:t>
      </w:r>
      <w:r w:rsidRPr="004C770C">
        <w:t xml:space="preserve"> Marktrisikogrenze für den Einsatz von Derivaten</w:t>
      </w:r>
      <w:r w:rsidR="00D92557" w:rsidRPr="004C770C">
        <w:t xml:space="preserve"> und </w:t>
      </w:r>
      <w:r w:rsidR="00500383" w:rsidRPr="004C770C">
        <w:t>Finanzinstrumenten mit derivativer Komponente</w:t>
      </w:r>
      <w:r w:rsidRPr="004C770C">
        <w:t xml:space="preserve"> entweder den einfachen oder den qualifizierten Ansatz im Sinne</w:t>
      </w:r>
      <w:r w:rsidR="00FE1969" w:rsidRPr="004C770C">
        <w:t xml:space="preserve"> der gemäß § </w:t>
      </w:r>
      <w:r w:rsidR="00D45315" w:rsidRPr="004C770C">
        <w:t xml:space="preserve">197 </w:t>
      </w:r>
      <w:r w:rsidR="007A53A9">
        <w:t>Absatz</w:t>
      </w:r>
      <w:r w:rsidR="00A036E5" w:rsidRPr="004C770C">
        <w:t xml:space="preserve"> 3 </w:t>
      </w:r>
      <w:r w:rsidR="007A53A9">
        <w:t>KAGB</w:t>
      </w:r>
      <w:r w:rsidR="00A036E5" w:rsidRPr="004C770C">
        <w:t xml:space="preserve"> erlassenen</w:t>
      </w:r>
      <w:r w:rsidR="00FE1969" w:rsidRPr="004C770C">
        <w:t xml:space="preserve"> </w:t>
      </w:r>
      <w:r w:rsidR="009E7DBD">
        <w:t>„</w:t>
      </w:r>
      <w:r w:rsidR="00715638">
        <w:t>V</w:t>
      </w:r>
      <w:r w:rsidR="00FE1969" w:rsidRPr="004C770C">
        <w:t xml:space="preserve">erordnung über Risikomanagement und Risikomessung </w:t>
      </w:r>
      <w:r w:rsidR="00715638">
        <w:t>beim Einsatz von Derivaten</w:t>
      </w:r>
      <w:r w:rsidR="009E7DBD">
        <w:t>,</w:t>
      </w:r>
      <w:r w:rsidR="00715638">
        <w:t xml:space="preserve"> </w:t>
      </w:r>
      <w:r w:rsidR="00606C2A">
        <w:t>Wertpapier-Darlehen und Pensionsgeschäfte</w:t>
      </w:r>
      <w:r w:rsidR="009E7DBD">
        <w:t>n</w:t>
      </w:r>
      <w:r w:rsidR="00606C2A">
        <w:t xml:space="preserve"> in Investmentvermögen nach dem Kapitalanlagegesetzbuch</w:t>
      </w:r>
      <w:r w:rsidR="009E7DBD">
        <w:t>“</w:t>
      </w:r>
      <w:r w:rsidR="00606C2A">
        <w:t xml:space="preserve"> </w:t>
      </w:r>
      <w:r w:rsidR="00FE1969" w:rsidRPr="004C770C">
        <w:t>(</w:t>
      </w:r>
      <w:proofErr w:type="spellStart"/>
      <w:r w:rsidR="00FE1969" w:rsidRPr="004C770C">
        <w:t>DerivateV</w:t>
      </w:r>
      <w:proofErr w:type="spellEnd"/>
      <w:r w:rsidR="00FE1969" w:rsidRPr="004C770C">
        <w:t>)</w:t>
      </w:r>
      <w:r w:rsidRPr="004C770C">
        <w:t xml:space="preserve"> nutzen; </w:t>
      </w:r>
      <w:r w:rsidR="00280046" w:rsidRPr="004C770C">
        <w:t>d</w:t>
      </w:r>
      <w:r w:rsidRPr="004C770C">
        <w:t>as Nähere regelt der Verkaufsprospekt.</w:t>
      </w:r>
    </w:p>
    <w:p w14:paraId="000C0362" w14:textId="283012F2" w:rsidR="009228A7" w:rsidRPr="004C770C" w:rsidRDefault="00DD4718" w:rsidP="00FA0BB2">
      <w:r w:rsidRPr="004C770C">
        <w:lastRenderedPageBreak/>
        <w:t xml:space="preserve">2. Sofern die Gesellschaft den einfachen Ansatz nutzt, darf sie </w:t>
      </w:r>
      <w:r w:rsidR="00AF7228" w:rsidRPr="004C770C">
        <w:t xml:space="preserve">regelmäßig nur </w:t>
      </w:r>
      <w:r w:rsidRPr="004C770C">
        <w:t>Grundformen von Derivaten</w:t>
      </w:r>
      <w:r w:rsidR="001002CD">
        <w:t xml:space="preserve"> und</w:t>
      </w:r>
      <w:r w:rsidRPr="004C770C">
        <w:t xml:space="preserve"> Finanzinstrumenten mit derivativer Komponente oder Kombinationen aus diesen Derivaten, Finanzinstrumenten mit derivativer Komponente </w:t>
      </w:r>
      <w:r w:rsidR="001002CD">
        <w:t>sowie</w:t>
      </w:r>
      <w:r w:rsidRPr="004C770C">
        <w:t xml:space="preserve"> gemäß § </w:t>
      </w:r>
      <w:r w:rsidR="00F9545F" w:rsidRPr="004C770C">
        <w:t xml:space="preserve">197 </w:t>
      </w:r>
      <w:r w:rsidR="007A53A9">
        <w:t>Absatz</w:t>
      </w:r>
      <w:r w:rsidRPr="004C770C">
        <w:t xml:space="preserve"> 1 Satz 1 </w:t>
      </w:r>
      <w:r w:rsidR="00F9545F" w:rsidRPr="004C770C">
        <w:t xml:space="preserve">KAGB </w:t>
      </w:r>
      <w:r w:rsidRPr="004C770C">
        <w:t xml:space="preserve">zulässigen Basiswerten im </w:t>
      </w:r>
      <w:r w:rsidR="000B7F06">
        <w:t>OGAW-</w:t>
      </w:r>
      <w:r w:rsidRPr="004C770C">
        <w:t xml:space="preserve">Sondervermögen einsetzen. </w:t>
      </w:r>
      <w:r w:rsidR="00AF7228" w:rsidRPr="004C770C">
        <w:t xml:space="preserve">Komplexe Derivate </w:t>
      </w:r>
      <w:r w:rsidR="001002CD">
        <w:t>mit</w:t>
      </w:r>
      <w:r w:rsidR="00AF7228" w:rsidRPr="004C770C">
        <w:t xml:space="preserve"> gemäß § </w:t>
      </w:r>
      <w:r w:rsidR="00F9545F" w:rsidRPr="004C770C">
        <w:t xml:space="preserve">197 </w:t>
      </w:r>
      <w:r w:rsidR="007A53A9">
        <w:t>Absatz</w:t>
      </w:r>
      <w:r w:rsidR="00AF7228" w:rsidRPr="004C770C">
        <w:t xml:space="preserve"> 1 Satz 1</w:t>
      </w:r>
      <w:r w:rsidR="00FD28EC" w:rsidRPr="004C770C">
        <w:t xml:space="preserve"> </w:t>
      </w:r>
      <w:r w:rsidR="00F9545F" w:rsidRPr="004C770C">
        <w:t xml:space="preserve">KAGB </w:t>
      </w:r>
      <w:r w:rsidR="00AF7228" w:rsidRPr="004C770C">
        <w:t xml:space="preserve">zulässigen Basiswerten dürfen nur zu einem vernachlässigbaren Anteil eingesetzt werden. </w:t>
      </w:r>
      <w:r w:rsidR="0044476F" w:rsidRPr="004C770C">
        <w:t>D</w:t>
      </w:r>
      <w:r w:rsidR="009228A7" w:rsidRPr="004C770C">
        <w:t xml:space="preserve">er nach Maßgabe von § 16 </w:t>
      </w:r>
      <w:proofErr w:type="spellStart"/>
      <w:r w:rsidR="009228A7" w:rsidRPr="004C770C">
        <w:t>DerivateV</w:t>
      </w:r>
      <w:proofErr w:type="spellEnd"/>
      <w:r w:rsidR="009228A7" w:rsidRPr="004C770C">
        <w:t xml:space="preserve"> zu ermittelnde Anrechnungsbetrag des </w:t>
      </w:r>
      <w:r w:rsidR="000B7F06">
        <w:t>OGAW-</w:t>
      </w:r>
      <w:r w:rsidR="009228A7" w:rsidRPr="004C770C">
        <w:t xml:space="preserve">Sondervermögens für das </w:t>
      </w:r>
      <w:r w:rsidR="00FD1B40" w:rsidRPr="004C770C">
        <w:t>Marktrisiko darf</w:t>
      </w:r>
      <w:r w:rsidR="009228A7" w:rsidRPr="004C770C">
        <w:t xml:space="preserve"> zu keinem Zeitpunkt </w:t>
      </w:r>
      <w:r w:rsidR="00FD1B40" w:rsidRPr="004C770C">
        <w:t>den</w:t>
      </w:r>
      <w:r w:rsidR="009228A7" w:rsidRPr="004C770C">
        <w:t xml:space="preserve"> Wert des Sondervermögens übersteigen.</w:t>
      </w:r>
    </w:p>
    <w:p w14:paraId="67EA640C" w14:textId="77777777" w:rsidR="00C141EA" w:rsidRPr="004C770C" w:rsidRDefault="00C141EA" w:rsidP="00FA0BB2">
      <w:r w:rsidRPr="004C770C">
        <w:t>Grundformen von Derivaten sind:</w:t>
      </w:r>
    </w:p>
    <w:p w14:paraId="260D08F6" w14:textId="77777777" w:rsidR="009228A7" w:rsidRPr="004C770C" w:rsidRDefault="00D968A5" w:rsidP="00D968A5">
      <w:pPr>
        <w:tabs>
          <w:tab w:val="left" w:pos="284"/>
        </w:tabs>
      </w:pPr>
      <w:r w:rsidRPr="004C770C">
        <w:t>a)</w:t>
      </w:r>
      <w:r w:rsidRPr="004C770C">
        <w:tab/>
      </w:r>
      <w:r w:rsidR="009228A7" w:rsidRPr="004C770C">
        <w:t>Terminkontrakte auf</w:t>
      </w:r>
      <w:r w:rsidR="00651970" w:rsidRPr="004C770C">
        <w:t xml:space="preserve"> die Basiswerte nach § </w:t>
      </w:r>
      <w:r w:rsidR="00F9545F" w:rsidRPr="004C770C">
        <w:t xml:space="preserve">197 </w:t>
      </w:r>
      <w:r w:rsidR="007A53A9">
        <w:t>Absatz</w:t>
      </w:r>
      <w:r w:rsidR="007C1297">
        <w:t xml:space="preserve"> </w:t>
      </w:r>
      <w:r w:rsidR="00651970" w:rsidRPr="004C770C">
        <w:t xml:space="preserve">1 </w:t>
      </w:r>
      <w:r w:rsidR="00F9545F" w:rsidRPr="004C770C">
        <w:t xml:space="preserve">KAGB </w:t>
      </w:r>
      <w:r w:rsidR="00651970" w:rsidRPr="004C770C">
        <w:t>mit der Ausnahme von I</w:t>
      </w:r>
      <w:r w:rsidR="003C1C8A" w:rsidRPr="004C770C">
        <w:t xml:space="preserve">nvestmentanteilen nach § </w:t>
      </w:r>
      <w:r w:rsidR="00F9545F" w:rsidRPr="004C770C">
        <w:t>196 KAGB</w:t>
      </w:r>
      <w:r w:rsidR="009228A7" w:rsidRPr="004C770C">
        <w:t>;</w:t>
      </w:r>
    </w:p>
    <w:p w14:paraId="5D1D9C5C" w14:textId="77777777" w:rsidR="009228A7" w:rsidRPr="004C770C" w:rsidRDefault="00D968A5" w:rsidP="00D968A5">
      <w:pPr>
        <w:tabs>
          <w:tab w:val="left" w:pos="284"/>
        </w:tabs>
      </w:pPr>
      <w:r w:rsidRPr="004C770C">
        <w:t>b)</w:t>
      </w:r>
      <w:r w:rsidRPr="004C770C">
        <w:tab/>
      </w:r>
      <w:r w:rsidR="009228A7" w:rsidRPr="004C770C">
        <w:t>Optionen oder Optionsscheine</w:t>
      </w:r>
      <w:r w:rsidR="00651970" w:rsidRPr="004C770C">
        <w:t xml:space="preserve"> auf die Basiswerte nach § </w:t>
      </w:r>
      <w:r w:rsidR="00F9545F" w:rsidRPr="004C770C">
        <w:t xml:space="preserve">197 </w:t>
      </w:r>
      <w:r w:rsidR="007A53A9">
        <w:t>Absatz</w:t>
      </w:r>
      <w:r w:rsidR="007C1297">
        <w:t xml:space="preserve"> </w:t>
      </w:r>
      <w:r w:rsidR="00651970" w:rsidRPr="004C770C">
        <w:t xml:space="preserve">1 </w:t>
      </w:r>
      <w:r w:rsidR="00F9545F" w:rsidRPr="004C770C">
        <w:t xml:space="preserve">KAGB </w:t>
      </w:r>
      <w:r w:rsidR="00651970" w:rsidRPr="004C770C">
        <w:t xml:space="preserve">mit der Ausnahme von Investmentanteilen nach § </w:t>
      </w:r>
      <w:r w:rsidR="00F9545F" w:rsidRPr="004C770C">
        <w:t>196 KAGB</w:t>
      </w:r>
      <w:r w:rsidR="00D8516A" w:rsidRPr="004C770C">
        <w:t xml:space="preserve"> und auf Terminkontrakte nach </w:t>
      </w:r>
      <w:r w:rsidR="00A51BAB" w:rsidRPr="004C770C">
        <w:t xml:space="preserve">Buchstabe </w:t>
      </w:r>
      <w:r w:rsidR="00D8516A" w:rsidRPr="004C770C">
        <w:t>a)</w:t>
      </w:r>
      <w:r w:rsidR="00F7475C" w:rsidRPr="004C770C">
        <w:t>,</w:t>
      </w:r>
      <w:r w:rsidR="00D8516A" w:rsidRPr="004C770C">
        <w:t xml:space="preserve"> </w:t>
      </w:r>
      <w:r w:rsidR="009228A7" w:rsidRPr="004C770C">
        <w:t>wenn sie die folgenden Eigenschaften aufweisen:</w:t>
      </w:r>
    </w:p>
    <w:p w14:paraId="54044AD7" w14:textId="77777777" w:rsidR="009228A7" w:rsidRPr="004C770C" w:rsidRDefault="009228A7" w:rsidP="00D968A5">
      <w:pPr>
        <w:tabs>
          <w:tab w:val="left" w:pos="284"/>
        </w:tabs>
      </w:pPr>
      <w:proofErr w:type="spellStart"/>
      <w:r w:rsidRPr="004C770C">
        <w:t>aa</w:t>
      </w:r>
      <w:proofErr w:type="spellEnd"/>
      <w:r w:rsidRPr="004C770C">
        <w:t>) eine Ausübung ist entweder während der gesamten Laufzeit oder zum Ende der Laufzeit möglich und</w:t>
      </w:r>
    </w:p>
    <w:p w14:paraId="43B7F6A4" w14:textId="77777777" w:rsidR="009228A7" w:rsidRPr="004C770C" w:rsidRDefault="009228A7" w:rsidP="00FA0BB2">
      <w:proofErr w:type="spellStart"/>
      <w:r w:rsidRPr="004C770C">
        <w:t>bb</w:t>
      </w:r>
      <w:proofErr w:type="spellEnd"/>
      <w:r w:rsidRPr="004C770C">
        <w:t>) der Optionswert hängt zum Ausübungszeitpunkt linear von der positiven oder negativen Differenz zwischen Basispreis und Marktpreis des Basiswerts ab und wird null, wenn die Differenz das andere Vorzeichen hat;</w:t>
      </w:r>
    </w:p>
    <w:p w14:paraId="037DD7EF" w14:textId="77777777" w:rsidR="009228A7" w:rsidRPr="004C770C" w:rsidRDefault="00D968A5" w:rsidP="00D968A5">
      <w:pPr>
        <w:tabs>
          <w:tab w:val="left" w:pos="284"/>
        </w:tabs>
      </w:pPr>
      <w:r w:rsidRPr="004C770C">
        <w:t>c)</w:t>
      </w:r>
      <w:r w:rsidRPr="004C770C">
        <w:tab/>
      </w:r>
      <w:r w:rsidR="009228A7" w:rsidRPr="004C770C">
        <w:t>Zinsswaps, Währungsswaps oder Zins-Währungsswaps;</w:t>
      </w:r>
    </w:p>
    <w:p w14:paraId="0DD1A3F3" w14:textId="77777777" w:rsidR="00D8516A" w:rsidRPr="004C770C" w:rsidRDefault="00D968A5" w:rsidP="00D968A5">
      <w:pPr>
        <w:tabs>
          <w:tab w:val="left" w:pos="284"/>
        </w:tabs>
      </w:pPr>
      <w:r w:rsidRPr="004C770C">
        <w:lastRenderedPageBreak/>
        <w:t>d)</w:t>
      </w:r>
      <w:r w:rsidRPr="004C770C">
        <w:tab/>
      </w:r>
      <w:r w:rsidR="00D8516A" w:rsidRPr="004C770C">
        <w:t xml:space="preserve">Optionen auf Swaps nach Buchstabe c), sofern sie die in Buchstabe b) unter Buchstaben </w:t>
      </w:r>
      <w:proofErr w:type="spellStart"/>
      <w:r w:rsidR="00D8516A" w:rsidRPr="004C770C">
        <w:t>aa</w:t>
      </w:r>
      <w:proofErr w:type="spellEnd"/>
      <w:r w:rsidR="00D8516A" w:rsidRPr="004C770C">
        <w:t xml:space="preserve">) und </w:t>
      </w:r>
      <w:proofErr w:type="spellStart"/>
      <w:r w:rsidR="00D8516A" w:rsidRPr="004C770C">
        <w:t>bb</w:t>
      </w:r>
      <w:proofErr w:type="spellEnd"/>
      <w:r w:rsidR="00D8516A" w:rsidRPr="004C770C">
        <w:t>) beschriebenen Eigenschaften aufweisen (</w:t>
      </w:r>
      <w:proofErr w:type="spellStart"/>
      <w:r w:rsidR="00D8516A" w:rsidRPr="004C770C">
        <w:t>Swaptions</w:t>
      </w:r>
      <w:proofErr w:type="spellEnd"/>
      <w:r w:rsidR="00D8516A" w:rsidRPr="004C770C">
        <w:t>);</w:t>
      </w:r>
    </w:p>
    <w:p w14:paraId="3E8B56A0" w14:textId="56F7218E" w:rsidR="009228A7" w:rsidRPr="004C770C" w:rsidRDefault="00D8516A" w:rsidP="00D968A5">
      <w:pPr>
        <w:tabs>
          <w:tab w:val="left" w:pos="284"/>
        </w:tabs>
      </w:pPr>
      <w:r w:rsidRPr="004C770C">
        <w:t>e</w:t>
      </w:r>
      <w:r w:rsidR="00D968A5" w:rsidRPr="004C770C">
        <w:t>)</w:t>
      </w:r>
      <w:r w:rsidR="00D968A5" w:rsidRPr="004C770C">
        <w:tab/>
      </w:r>
      <w:proofErr w:type="spellStart"/>
      <w:r w:rsidR="009228A7" w:rsidRPr="004C770C">
        <w:t>Credit</w:t>
      </w:r>
      <w:proofErr w:type="spellEnd"/>
      <w:r w:rsidR="009228A7" w:rsidRPr="004C770C">
        <w:t xml:space="preserve"> Default Swaps</w:t>
      </w:r>
      <w:r w:rsidR="007C1297">
        <w:t>,</w:t>
      </w:r>
      <w:r w:rsidR="009228A7" w:rsidRPr="004C770C">
        <w:t xml:space="preserve"> </w:t>
      </w:r>
      <w:r w:rsidR="0068070C">
        <w:t xml:space="preserve">die sich auf einen einzelnen Basiswert beziehen (Single Name </w:t>
      </w:r>
      <w:proofErr w:type="spellStart"/>
      <w:r w:rsidR="0068070C">
        <w:t>Credit</w:t>
      </w:r>
      <w:proofErr w:type="spellEnd"/>
      <w:r w:rsidR="0068070C">
        <w:t xml:space="preserve"> Default Swaps)</w:t>
      </w:r>
      <w:r w:rsidR="009C68B5" w:rsidRPr="004C770C">
        <w:t>.</w:t>
      </w:r>
    </w:p>
    <w:p w14:paraId="02871E8E" w14:textId="77777777" w:rsidR="0063170B" w:rsidRDefault="009228A7" w:rsidP="00FA0BB2">
      <w:r w:rsidRPr="004C770C">
        <w:t xml:space="preserve">3. Sofern die Gesellschaft den qualifizierten Ansatz nutzt, darf sie – vorbehaltlich eines geeigneten Risikomanagementsystems </w:t>
      </w:r>
      <w:r w:rsidR="0063170B" w:rsidRPr="004C770C">
        <w:t>–</w:t>
      </w:r>
      <w:r w:rsidRPr="004C770C">
        <w:t xml:space="preserve"> in jegliche</w:t>
      </w:r>
      <w:r w:rsidR="00272C14" w:rsidRPr="004C770C">
        <w:t xml:space="preserve"> Finanzinstrum</w:t>
      </w:r>
      <w:r w:rsidR="00DB35D8" w:rsidRPr="004C770C">
        <w:t xml:space="preserve">ente mit derivativer Komponente oder Derivate </w:t>
      </w:r>
      <w:r w:rsidRPr="004C770C">
        <w:t xml:space="preserve">investieren, die </w:t>
      </w:r>
      <w:r w:rsidR="000B68CC" w:rsidRPr="004C770C">
        <w:t>von einem gemäß</w:t>
      </w:r>
      <w:r w:rsidR="00EF5289" w:rsidRPr="004C770C">
        <w:t xml:space="preserve"> § </w:t>
      </w:r>
      <w:r w:rsidR="00F9545F" w:rsidRPr="004C770C">
        <w:t xml:space="preserve">197 </w:t>
      </w:r>
      <w:r w:rsidR="007A53A9">
        <w:t>Absatz</w:t>
      </w:r>
      <w:r w:rsidR="00EF5289" w:rsidRPr="004C770C">
        <w:t xml:space="preserve"> </w:t>
      </w:r>
      <w:r w:rsidR="000B68CC" w:rsidRPr="004C770C">
        <w:t>1 Satz</w:t>
      </w:r>
      <w:r w:rsidR="007C1297">
        <w:t xml:space="preserve"> </w:t>
      </w:r>
      <w:r w:rsidR="000B68CC" w:rsidRPr="004C770C">
        <w:t xml:space="preserve">1 </w:t>
      </w:r>
      <w:r w:rsidR="00F9545F" w:rsidRPr="004C770C">
        <w:t xml:space="preserve">KAGB </w:t>
      </w:r>
      <w:r w:rsidR="000B68CC" w:rsidRPr="004C770C">
        <w:t>zulässigen</w:t>
      </w:r>
      <w:r w:rsidR="00EF5289" w:rsidRPr="004C770C">
        <w:t xml:space="preserve"> Basiswert</w:t>
      </w:r>
      <w:r w:rsidR="000B68CC" w:rsidRPr="004C770C">
        <w:t xml:space="preserve"> abgeleitet sind.</w:t>
      </w:r>
    </w:p>
    <w:p w14:paraId="14ABECAE" w14:textId="77777777" w:rsidR="009228A7" w:rsidRPr="004C770C" w:rsidRDefault="00CF0809" w:rsidP="00FA0BB2">
      <w:r w:rsidRPr="004C770C">
        <w:t xml:space="preserve">Hierbei darf der dem </w:t>
      </w:r>
      <w:r w:rsidR="00C32DA1">
        <w:t>OGAW-</w:t>
      </w:r>
      <w:r w:rsidRPr="004C770C">
        <w:t xml:space="preserve">Sondervermögen zuzuordnende potenzielle Risikobetrag für das Marktrisiko ("Risikobetrag") zu keinem Zeitpunkt das Zweifache des potenziellen Risikobetrags für das Marktrisiko des zugehörigen Vergleichsvermögens gemäß § 9 der </w:t>
      </w:r>
      <w:proofErr w:type="spellStart"/>
      <w:r w:rsidRPr="004C770C">
        <w:t>DerivateV</w:t>
      </w:r>
      <w:proofErr w:type="spellEnd"/>
      <w:r w:rsidRPr="004C770C">
        <w:t xml:space="preserve"> übersteigen. Alternativ darf der Risikobetrag zu keinem Zeitpunkt</w:t>
      </w:r>
      <w:r w:rsidR="0063170B">
        <w:t xml:space="preserve"> </w:t>
      </w:r>
      <w:r w:rsidRPr="004C770C">
        <w:t xml:space="preserve">20 Prozent des Wertes des </w:t>
      </w:r>
      <w:r w:rsidR="00C32DA1">
        <w:t>OGAW-</w:t>
      </w:r>
      <w:r w:rsidRPr="004C770C">
        <w:t>Sondervermögens übersteigen.</w:t>
      </w:r>
    </w:p>
    <w:p w14:paraId="22A38071" w14:textId="23D226FA" w:rsidR="0063170B" w:rsidRDefault="009228A7" w:rsidP="00FA0BB2">
      <w:r w:rsidRPr="004C770C">
        <w:t xml:space="preserve">4. Unter keinen Umständen darf die Gesellschaft bei diesen Geschäften von den in den </w:t>
      </w:r>
      <w:r w:rsidR="00770BF0">
        <w:t>A</w:t>
      </w:r>
      <w:r w:rsidR="00455B26">
        <w:t>nlagebedingung</w:t>
      </w:r>
      <w:r w:rsidR="00770BF0">
        <w:t>en</w:t>
      </w:r>
      <w:r w:rsidRPr="004C770C">
        <w:t xml:space="preserve"> </w:t>
      </w:r>
      <w:r w:rsidR="00A17D67">
        <w:t>oder</w:t>
      </w:r>
      <w:r w:rsidR="00A17D67" w:rsidRPr="004C770C">
        <w:t xml:space="preserve"> </w:t>
      </w:r>
      <w:r w:rsidR="00DE7863">
        <w:t>von den i</w:t>
      </w:r>
      <w:r w:rsidRPr="004C770C">
        <w:t>m Verkaufsprospekt genannten Anlagegrundsätzen und -grenzen abweichen.</w:t>
      </w:r>
    </w:p>
    <w:p w14:paraId="7583467D" w14:textId="77777777" w:rsidR="00905DD5" w:rsidRPr="004C770C" w:rsidRDefault="009228A7" w:rsidP="00FA0BB2">
      <w:r w:rsidRPr="004C770C">
        <w:t>5. Die Gesellschaft wird Derivate</w:t>
      </w:r>
      <w:r w:rsidR="000B68CC" w:rsidRPr="004C770C">
        <w:t xml:space="preserve"> und Finanzinstrumente mit derivativer </w:t>
      </w:r>
      <w:r w:rsidR="00280046" w:rsidRPr="004C770C">
        <w:t>K</w:t>
      </w:r>
      <w:r w:rsidR="000B68CC" w:rsidRPr="004C770C">
        <w:t>omponente</w:t>
      </w:r>
      <w:r w:rsidRPr="004C770C">
        <w:t xml:space="preserve"> zum Zwecke der Absicherung, der effizienten Portfoliosteuerung und der Erzielung von Zusatzerträgen einsetzen, wenn und soweit sie dies im Interesse der Anleger für geboten hält.</w:t>
      </w:r>
    </w:p>
    <w:p w14:paraId="483428A3" w14:textId="6EC44FD4" w:rsidR="009228A7" w:rsidRPr="004C770C" w:rsidRDefault="009228A7" w:rsidP="00FA0BB2">
      <w:r w:rsidRPr="004C770C">
        <w:t xml:space="preserve">6. Bei der Ermittlung der Marktrisikogrenze für den Einsatz von Derivaten </w:t>
      </w:r>
      <w:r w:rsidR="000B68CC" w:rsidRPr="004C770C">
        <w:t xml:space="preserve">und Finanzinstrumenten mit derivativer Komponente </w:t>
      </w:r>
      <w:r w:rsidRPr="004C770C">
        <w:t>darf die Gesellschaft jederzeit</w:t>
      </w:r>
      <w:r w:rsidR="0094562B" w:rsidRPr="0094562B">
        <w:t xml:space="preserve"> </w:t>
      </w:r>
      <w:r w:rsidR="0094562B" w:rsidRPr="004C770C">
        <w:t xml:space="preserve">gemäß § </w:t>
      </w:r>
      <w:r w:rsidR="0094562B">
        <w:t>6 Satz 3</w:t>
      </w:r>
      <w:r w:rsidR="0094562B" w:rsidRPr="004C770C">
        <w:t xml:space="preserve"> der </w:t>
      </w:r>
      <w:proofErr w:type="spellStart"/>
      <w:r w:rsidR="0094562B" w:rsidRPr="004C770C">
        <w:t>DerivateV</w:t>
      </w:r>
      <w:proofErr w:type="spellEnd"/>
      <w:r w:rsidRPr="004C770C">
        <w:t xml:space="preserve"> </w:t>
      </w:r>
      <w:r w:rsidR="0094562B">
        <w:t>zwischen de</w:t>
      </w:r>
      <w:r w:rsidRPr="004C770C">
        <w:t xml:space="preserve">m einfachen </w:t>
      </w:r>
      <w:r w:rsidR="0094562B">
        <w:t>und de</w:t>
      </w:r>
      <w:r w:rsidRPr="004C770C">
        <w:t xml:space="preserve">m qualifizierten Ansatz wechseln. Der Wechsel </w:t>
      </w:r>
      <w:r w:rsidRPr="004C770C">
        <w:lastRenderedPageBreak/>
        <w:t>bedarf nicht der Genehmigung durch die Bundesanstalt, die Gesellschaft hat den Wechsel jedoch unverzüglich der Bundesanstalt an</w:t>
      </w:r>
      <w:r w:rsidR="00CA5EC5" w:rsidRPr="004C770C">
        <w:t>zu</w:t>
      </w:r>
      <w:r w:rsidRPr="004C770C">
        <w:t>zeigen und im nächstfolgenden Halbjahres- oder Jahresbericht bekannt zu machen.</w:t>
      </w:r>
    </w:p>
    <w:p w14:paraId="1407DF8B" w14:textId="77777777" w:rsidR="00CF5A0E" w:rsidRDefault="009228A7" w:rsidP="00FA0BB2">
      <w:r w:rsidRPr="004C770C">
        <w:t xml:space="preserve">7. </w:t>
      </w:r>
      <w:r w:rsidR="008A7406" w:rsidRPr="004C770C">
        <w:t>Beim Einsatz von Derivaten</w:t>
      </w:r>
      <w:r w:rsidR="000B68CC" w:rsidRPr="004C770C">
        <w:t xml:space="preserve"> und Finanzinstrumenten mit derivativer Komponente</w:t>
      </w:r>
      <w:r w:rsidR="008A7406" w:rsidRPr="004C770C">
        <w:t xml:space="preserve"> wird die Gesellschaft die </w:t>
      </w:r>
      <w:proofErr w:type="spellStart"/>
      <w:r w:rsidR="008A7406" w:rsidRPr="004C770C">
        <w:t>DerivateV</w:t>
      </w:r>
      <w:proofErr w:type="spellEnd"/>
      <w:r w:rsidR="008A7406" w:rsidRPr="004C770C">
        <w:t xml:space="preserve"> beachten.</w:t>
      </w:r>
    </w:p>
    <w:p w14:paraId="0D17814F" w14:textId="77777777" w:rsidR="008A7406" w:rsidRDefault="008A7406">
      <w:pPr>
        <w:pStyle w:val="Paragr-berschr"/>
      </w:pPr>
      <w:r>
        <w:t>§ 10 Sonstige Anlageinstrumente</w:t>
      </w:r>
    </w:p>
    <w:p w14:paraId="09FC104F" w14:textId="07A2D537" w:rsidR="008A7406" w:rsidRDefault="00DC3490">
      <w:r>
        <w:t xml:space="preserve">Sofern in den </w:t>
      </w:r>
      <w:proofErr w:type="spellStart"/>
      <w:r w:rsidR="00770BF0">
        <w:t>BABen</w:t>
      </w:r>
      <w:proofErr w:type="spellEnd"/>
      <w:r w:rsidR="00770BF0">
        <w:t xml:space="preserve"> </w:t>
      </w:r>
      <w:r w:rsidR="00E82D1D">
        <w:t>nichts A</w:t>
      </w:r>
      <w:r>
        <w:t xml:space="preserve">nderweitiges bestimmt ist, kann die Gesellschaft für Rechnung </w:t>
      </w:r>
      <w:r w:rsidR="00715638">
        <w:t>des</w:t>
      </w:r>
      <w:r w:rsidR="00AF53B1">
        <w:t xml:space="preserve"> </w:t>
      </w:r>
      <w:r w:rsidR="00C32DA1">
        <w:t>OGAW-</w:t>
      </w:r>
      <w:r>
        <w:t>Sondervermögens</w:t>
      </w:r>
      <w:r w:rsidR="008A7406">
        <w:t xml:space="preserve"> bis zu 10</w:t>
      </w:r>
      <w:r w:rsidR="00C54F7F">
        <w:t xml:space="preserve"> </w:t>
      </w:r>
      <w:r w:rsidR="009C68B5">
        <w:t xml:space="preserve">Prozent </w:t>
      </w:r>
      <w:r w:rsidR="008A7406">
        <w:t xml:space="preserve">des Wertes des </w:t>
      </w:r>
      <w:r w:rsidR="00C32DA1">
        <w:t>OGAW-</w:t>
      </w:r>
      <w:r w:rsidR="008A7406">
        <w:t xml:space="preserve">Sondervermögens </w:t>
      </w:r>
      <w:r w:rsidR="00FE5C3B">
        <w:t xml:space="preserve">in </w:t>
      </w:r>
      <w:r>
        <w:t xml:space="preserve">Sonstige Anlageinstrumente </w:t>
      </w:r>
      <w:r w:rsidR="009036D0">
        <w:t>gemäß</w:t>
      </w:r>
      <w:r>
        <w:t xml:space="preserve"> § </w:t>
      </w:r>
      <w:r w:rsidR="00D45315">
        <w:t xml:space="preserve">198 </w:t>
      </w:r>
      <w:r w:rsidR="007A53A9">
        <w:t>KAGB</w:t>
      </w:r>
      <w:r>
        <w:t xml:space="preserve"> </w:t>
      </w:r>
      <w:r w:rsidR="00FE5C3B">
        <w:t>anlegen</w:t>
      </w:r>
      <w:r w:rsidR="00455B26">
        <w:t>.</w:t>
      </w:r>
    </w:p>
    <w:p w14:paraId="260A6C76" w14:textId="77777777" w:rsidR="0063170B" w:rsidRDefault="008A7406">
      <w:pPr>
        <w:pStyle w:val="Paragr-berschr"/>
      </w:pPr>
      <w:r>
        <w:t xml:space="preserve">§ 11 </w:t>
      </w:r>
      <w:proofErr w:type="spellStart"/>
      <w:r w:rsidR="00A1642A">
        <w:t>Emittenten</w:t>
      </w:r>
      <w:r>
        <w:t>grenzen</w:t>
      </w:r>
      <w:proofErr w:type="spellEnd"/>
      <w:r>
        <w:t xml:space="preserve"> und Anlagegrenzen</w:t>
      </w:r>
    </w:p>
    <w:p w14:paraId="78EFA276" w14:textId="77777777" w:rsidR="008A7406" w:rsidRDefault="008A7406">
      <w:r>
        <w:t xml:space="preserve">1. Bei der Verwaltung hat die Gesellschaft die </w:t>
      </w:r>
      <w:r w:rsidR="00703A64">
        <w:t>im KAGB</w:t>
      </w:r>
      <w:r w:rsidR="001E3C10">
        <w:t>,</w:t>
      </w:r>
      <w:r w:rsidR="009025F7">
        <w:t xml:space="preserve"> in</w:t>
      </w:r>
      <w:r w:rsidR="001E3C10">
        <w:t xml:space="preserve"> </w:t>
      </w:r>
      <w:r w:rsidR="00995FDC">
        <w:t xml:space="preserve">der </w:t>
      </w:r>
      <w:proofErr w:type="spellStart"/>
      <w:r w:rsidR="001E3C10">
        <w:t>DerivateV</w:t>
      </w:r>
      <w:proofErr w:type="spellEnd"/>
      <w:r>
        <w:t xml:space="preserve"> und in den </w:t>
      </w:r>
      <w:r w:rsidR="00A1642A">
        <w:t>Anlage</w:t>
      </w:r>
      <w:r>
        <w:t>bedingungen festgelegten Grenzen und Bes</w:t>
      </w:r>
      <w:r w:rsidR="009449C8">
        <w:t>chränkun</w:t>
      </w:r>
      <w:r>
        <w:t>gen zu beachten.</w:t>
      </w:r>
    </w:p>
    <w:p w14:paraId="1C388088" w14:textId="77777777" w:rsidR="0063170B" w:rsidRDefault="008A7406">
      <w:r>
        <w:t>2.</w:t>
      </w:r>
      <w:r w:rsidR="0063170B">
        <w:t xml:space="preserve"> </w:t>
      </w:r>
      <w:r>
        <w:t xml:space="preserve">Wertpapiere und Geldmarktinstrumente </w:t>
      </w:r>
      <w:r w:rsidRPr="00FB0EC3">
        <w:t>einschließlich der in Pension genommenen</w:t>
      </w:r>
      <w:r>
        <w:t xml:space="preserve"> Wertpapiere und Geldmarktinstrumente desselben </w:t>
      </w:r>
      <w:r w:rsidR="00A1642A">
        <w:t>Emittenten</w:t>
      </w:r>
      <w:r w:rsidR="0063170B">
        <w:t xml:space="preserve"> </w:t>
      </w:r>
      <w:r w:rsidR="00636486">
        <w:t xml:space="preserve">dürfen </w:t>
      </w:r>
      <w:r>
        <w:t xml:space="preserve">bis zu </w:t>
      </w:r>
      <w:r w:rsidR="009E7DBD">
        <w:t>5</w:t>
      </w:r>
      <w:r>
        <w:t> Proze</w:t>
      </w:r>
      <w:r w:rsidR="009449C8">
        <w:t xml:space="preserve">nt des </w:t>
      </w:r>
      <w:r w:rsidR="000B7F06">
        <w:t>Wertes des OGAW-</w:t>
      </w:r>
      <w:r w:rsidR="009449C8">
        <w:t>Sonder</w:t>
      </w:r>
      <w:r>
        <w:t>vermögens erworben werden</w:t>
      </w:r>
      <w:r w:rsidR="009E7DBD">
        <w:t>;</w:t>
      </w:r>
      <w:r w:rsidR="009E7DBD" w:rsidRPr="009E7DBD">
        <w:t xml:space="preserve"> </w:t>
      </w:r>
      <w:r w:rsidR="009E7DBD" w:rsidRPr="00E37A5C">
        <w:t>in diesen Werten dürfen jedoch</w:t>
      </w:r>
      <w:r w:rsidR="009E7DBD">
        <w:t xml:space="preserve"> </w:t>
      </w:r>
      <w:r w:rsidR="009E7DBD" w:rsidRPr="00E37A5C">
        <w:t xml:space="preserve">bis zu 10 Prozent des Wertes des </w:t>
      </w:r>
      <w:r w:rsidR="009E7DBD">
        <w:t xml:space="preserve">OGAW-Sondervermögens </w:t>
      </w:r>
      <w:r w:rsidR="009E7DBD" w:rsidRPr="00E37A5C">
        <w:t xml:space="preserve">angelegt werden, wenn dies in den </w:t>
      </w:r>
      <w:proofErr w:type="spellStart"/>
      <w:r w:rsidR="00770BF0">
        <w:t>BABen</w:t>
      </w:r>
      <w:proofErr w:type="spellEnd"/>
      <w:r w:rsidR="00770BF0">
        <w:t xml:space="preserve"> </w:t>
      </w:r>
      <w:r w:rsidR="009E7DBD" w:rsidRPr="00E37A5C">
        <w:t xml:space="preserve">vorgesehen ist und der Gesamtwert der Wertpapiere und Geldmarktinstrumente dieser </w:t>
      </w:r>
      <w:r w:rsidR="009E7DBD">
        <w:t xml:space="preserve">Emittenten </w:t>
      </w:r>
      <w:r w:rsidR="009E7DBD" w:rsidRPr="00E37A5C">
        <w:t>40</w:t>
      </w:r>
      <w:r w:rsidR="009E7DBD">
        <w:t xml:space="preserve"> </w:t>
      </w:r>
      <w:r w:rsidR="009E7DBD" w:rsidRPr="00E37A5C">
        <w:t xml:space="preserve">Prozent des Wertes des </w:t>
      </w:r>
      <w:r w:rsidR="009E7DBD">
        <w:t xml:space="preserve">OGAW-Sondervermögens </w:t>
      </w:r>
      <w:r w:rsidR="009E7DBD" w:rsidRPr="00E37A5C">
        <w:t>nicht übersteigt.</w:t>
      </w:r>
      <w:r w:rsidR="0039305E">
        <w:t xml:space="preserve"> </w:t>
      </w:r>
      <w:r w:rsidR="0039305E" w:rsidRPr="0039305E">
        <w:t xml:space="preserve">Die Emittenten von Wertpapieren und Geldmarktinstrumenten sind auch dann im Rahmen der in Satz 1 genannten Grenzen zu berücksichtigen, wenn die </w:t>
      </w:r>
      <w:proofErr w:type="gramStart"/>
      <w:r w:rsidR="0039305E" w:rsidRPr="0039305E">
        <w:t>von diesen emittierten Wertpapiere</w:t>
      </w:r>
      <w:proofErr w:type="gramEnd"/>
      <w:r w:rsidR="0039305E" w:rsidRPr="0039305E">
        <w:t xml:space="preserve"> und </w:t>
      </w:r>
      <w:r w:rsidR="0039305E" w:rsidRPr="0039305E">
        <w:lastRenderedPageBreak/>
        <w:t>Geldmarktinstrumente mittelbar über andere im OGAW enthaltenen Wertpapiere, die an deren Wertentwicklung gekoppelt sind, erworben werden.</w:t>
      </w:r>
    </w:p>
    <w:p w14:paraId="3EA79808" w14:textId="77777777" w:rsidR="0063170B" w:rsidRDefault="008A7406" w:rsidP="005226C6">
      <w:r>
        <w:t>3. Die Gesellschaft darf in Schuldverschreibungen</w:t>
      </w:r>
      <w:r w:rsidR="007852D6">
        <w:t>,</w:t>
      </w:r>
      <w:r>
        <w:t xml:space="preserve"> </w:t>
      </w:r>
      <w:r w:rsidR="008D408E" w:rsidRPr="004930AB">
        <w:t xml:space="preserve">Schuldscheindarlehen und Geldmarktinstrumente, die vom Bund, einem Land, </w:t>
      </w:r>
      <w:r w:rsidR="004E5270">
        <w:t>der Europäischen Union</w:t>
      </w:r>
      <w:r w:rsidR="008D408E" w:rsidRPr="004930AB">
        <w:t>, einem Mitgliedstaat der Europäischen Union oder seinen Gebietskörperschaften, einem anderen Vertragsstaat des Abkommens über den Europäischen Wirtschaftsraum, einem Drittstaat oder von einer internationalen Organisation, der mindestens ein Mitgliedstaat der Europäischen Union angehört</w:t>
      </w:r>
      <w:r>
        <w:t xml:space="preserve">, ausgegeben oder garantiert worden sind, jeweils bis zu 35 Prozent des Wertes des </w:t>
      </w:r>
      <w:r w:rsidR="000B7F06">
        <w:t>OGAW-</w:t>
      </w:r>
      <w:r>
        <w:t>Sondervermögens anlegen.</w:t>
      </w:r>
    </w:p>
    <w:p w14:paraId="3F4680FB" w14:textId="77777777" w:rsidR="002A0D49" w:rsidRDefault="00312AC5" w:rsidP="005226C6">
      <w:commentRangeStart w:id="1"/>
      <w:r>
        <w:t>4</w:t>
      </w:r>
      <w:r w:rsidR="004E5270">
        <w:t xml:space="preserve">. </w:t>
      </w:r>
      <w:commentRangeEnd w:id="1"/>
      <w:r w:rsidR="00220395">
        <w:rPr>
          <w:rStyle w:val="Kommentarzeichen"/>
        </w:rPr>
        <w:commentReference w:id="1"/>
      </w:r>
      <w:bookmarkStart w:id="2" w:name="_Hlk162253579"/>
      <w:r w:rsidR="002A0D49" w:rsidRPr="002A0D49">
        <w:t xml:space="preserve"> </w:t>
      </w:r>
      <w:r w:rsidR="002A0D49" w:rsidRPr="00D510FB">
        <w:t>Die Gesellschaft darf jeweils bis zu 25 Prozent des Wertes des OGAW-Sondervermögens</w:t>
      </w:r>
      <w:r w:rsidR="002A0D49">
        <w:t xml:space="preserve"> anlegen in</w:t>
      </w:r>
    </w:p>
    <w:p w14:paraId="3E802E58" w14:textId="31643055" w:rsidR="005226C6" w:rsidRDefault="002A0D49" w:rsidP="005226C6">
      <w:r>
        <w:t>a)</w:t>
      </w:r>
      <w:r w:rsidRPr="00D510FB">
        <w:t xml:space="preserve"> </w:t>
      </w:r>
      <w:r w:rsidR="008A7406">
        <w:t xml:space="preserve">Pfandbriefe und Kommunalschuldverschreibungen sowie Schuldverschreibungen, die von Kreditinstituten mit Sitz in einem Mitgliedstaat der Europäischen Union oder in einem anderen Vertragsstaat des Abkommens über den Europäischen Wirtschaftsraum </w:t>
      </w:r>
      <w:r w:rsidRPr="002A0D49">
        <w:t xml:space="preserve">vor dem 8. Juli 2022 </w:t>
      </w:r>
      <w:r w:rsidR="008A7406">
        <w:t>ausgegeben worden sind, wenn die Kreditinstitute auf</w:t>
      </w:r>
      <w:r w:rsidR="00E82D1D">
        <w:t>g</w:t>
      </w:r>
      <w:r w:rsidR="008A7406">
        <w:t xml:space="preserve">rund gesetzlicher Vorschriften zum Schutz der Inhaber dieser Schuldverschreibungen einer besonderen öffentlichen Aufsicht unterliegen und die mit der Ausgabe der Schuldverschreibungen aufgenommenen Mittel nach den gesetzlichen Vorschriften in Vermögenswerten angelegt werden, die während der gesamten Laufzeit der Schuldverschreibungen die sich aus ihnen ergebenden Verbindlichkeiten ausreichend decken und die bei einem Ausfall des </w:t>
      </w:r>
      <w:r w:rsidR="004E5270">
        <w:t xml:space="preserve">Emittenten </w:t>
      </w:r>
      <w:r w:rsidR="008A7406">
        <w:t xml:space="preserve">vorrangig für die fällig werdenden Rückzahlungen und die Zahlung der Zinsen bestimmt sind. </w:t>
      </w:r>
      <w:r w:rsidR="005226C6">
        <w:t xml:space="preserve">Legt die Gesellschaft mehr als 5 Prozent des Wertes des </w:t>
      </w:r>
      <w:r w:rsidR="000B7F06">
        <w:t>OGAW-</w:t>
      </w:r>
      <w:r w:rsidR="005226C6">
        <w:t xml:space="preserve">Sondervermögens in Schuldverschreibungen desselben </w:t>
      </w:r>
      <w:r w:rsidR="00312AC5">
        <w:t xml:space="preserve">Emittenten </w:t>
      </w:r>
      <w:r w:rsidR="005226C6">
        <w:t xml:space="preserve">nach Satz </w:t>
      </w:r>
      <w:r w:rsidR="00FE5C3B">
        <w:t>1</w:t>
      </w:r>
      <w:r w:rsidR="005226C6">
        <w:t xml:space="preserve"> an, so darf der Gesamtwert dieser Schuldverschreibungen 80 Prozent des Wertes des </w:t>
      </w:r>
      <w:r w:rsidR="000B7F06">
        <w:t>OGAW-</w:t>
      </w:r>
      <w:r w:rsidR="005226C6">
        <w:t>Sondervermögens nicht übersteigen.</w:t>
      </w:r>
      <w:bookmarkEnd w:id="2"/>
    </w:p>
    <w:p w14:paraId="1888B49D" w14:textId="767C39F6" w:rsidR="00D510FB" w:rsidRDefault="002A0D49" w:rsidP="005226C6">
      <w:r>
        <w:lastRenderedPageBreak/>
        <w:t xml:space="preserve">b) </w:t>
      </w:r>
      <w:r w:rsidR="00D510FB" w:rsidRPr="00D510FB">
        <w:t xml:space="preserve"> gedeckte Schuldverschreibungen im Sinne des Artikels 3 Nummer 1 der Richtlinie (EU) 2019/2162 des Europäischen Parlaments und des Rates vom 27. November 2019 über die Emission gedeckter Schuldverschreibungen und die öffentliche Aufsicht über gedeckte Schuldverschreibungen und zur Änderung der Richtlinien 2009/65/EG und 2014/59/EU (</w:t>
      </w:r>
      <w:proofErr w:type="spellStart"/>
      <w:r w:rsidR="00D510FB" w:rsidRPr="00D510FB">
        <w:t>ABl.</w:t>
      </w:r>
      <w:proofErr w:type="spellEnd"/>
      <w:r w:rsidR="00D510FB" w:rsidRPr="00D510FB">
        <w:t xml:space="preserve"> L 328 vom 18.12.2019, S. 29)</w:t>
      </w:r>
      <w:r w:rsidR="00A33116">
        <w:t xml:space="preserve">, die </w:t>
      </w:r>
      <w:r w:rsidR="00A33116" w:rsidRPr="00A33116">
        <w:t>nach dem 7. Juli 2022 begebenen wurden</w:t>
      </w:r>
      <w:r w:rsidR="00D510FB" w:rsidRPr="00D510FB">
        <w:t>. Legt die Gesellschaft mehr als 5 Prozent des Wertes des OGAW-Sondervermögens in Schuldverschreibungen desselben Emittenten nach Satz 1 an, so darf der Gesamtwert dieser Schuldverschreibungen 80 Prozent des Wertes des OGAW-Sondervermögens nicht übersteigen.</w:t>
      </w:r>
    </w:p>
    <w:p w14:paraId="567EABBA" w14:textId="0986499F" w:rsidR="008A7406" w:rsidRDefault="00312AC5">
      <w:r>
        <w:t>5</w:t>
      </w:r>
      <w:r w:rsidR="008A7406">
        <w:t xml:space="preserve">. Die Grenze in Absatz 3 darf für Wertpapiere und Geldmarktinstrumente desselben </w:t>
      </w:r>
      <w:r>
        <w:t xml:space="preserve">Emittenten </w:t>
      </w:r>
      <w:r w:rsidR="008A7406">
        <w:t xml:space="preserve">nach Maßgabe von § </w:t>
      </w:r>
      <w:r>
        <w:t xml:space="preserve">206 </w:t>
      </w:r>
      <w:r w:rsidR="008A7406">
        <w:t xml:space="preserve">Absatz 2 </w:t>
      </w:r>
      <w:r>
        <w:t xml:space="preserve">KAGB </w:t>
      </w:r>
      <w:r w:rsidR="008A7406">
        <w:t>überschritten werden, sofern d</w:t>
      </w:r>
      <w:r w:rsidR="009449C8">
        <w:t xml:space="preserve">ie </w:t>
      </w:r>
      <w:proofErr w:type="spellStart"/>
      <w:r w:rsidR="00770BF0">
        <w:t>BABen</w:t>
      </w:r>
      <w:proofErr w:type="spellEnd"/>
      <w:r w:rsidR="00770BF0">
        <w:t xml:space="preserve"> </w:t>
      </w:r>
      <w:r w:rsidR="008A7406">
        <w:t xml:space="preserve">dies unter Angabe der </w:t>
      </w:r>
      <w:r w:rsidR="008E1EF8">
        <w:t xml:space="preserve">betreffenden </w:t>
      </w:r>
      <w:r>
        <w:t xml:space="preserve">Emittenten </w:t>
      </w:r>
      <w:r w:rsidR="008A7406">
        <w:t xml:space="preserve">vorsehen. In diesen Fällen </w:t>
      </w:r>
      <w:proofErr w:type="gramStart"/>
      <w:r w:rsidR="008A7406">
        <w:t>müssen</w:t>
      </w:r>
      <w:proofErr w:type="gramEnd"/>
      <w:r w:rsidR="008A7406">
        <w:t xml:space="preserve"> die für Rechnung des </w:t>
      </w:r>
      <w:r w:rsidR="000B7F06">
        <w:t>OGAW-</w:t>
      </w:r>
      <w:r w:rsidR="008A7406">
        <w:t xml:space="preserve">Sondervermögens gehaltenen Wertpapiere und Geldmarktinstrumente aus mindestens sechs verschiedenen Emissionen stammen, wobei nicht mehr als 30 Prozent des </w:t>
      </w:r>
      <w:r w:rsidR="008E1EF8">
        <w:t xml:space="preserve">Wertes des </w:t>
      </w:r>
      <w:r w:rsidR="000B7F06">
        <w:t>OGAW-</w:t>
      </w:r>
      <w:r w:rsidR="008A7406">
        <w:t>Sondervermögens in einer Emission gehalten werden dürfen.</w:t>
      </w:r>
    </w:p>
    <w:p w14:paraId="548EDC88" w14:textId="7FC320D7" w:rsidR="008A7406" w:rsidRDefault="00F06A4D">
      <w:r>
        <w:t>6</w:t>
      </w:r>
      <w:r w:rsidR="008A7406">
        <w:t xml:space="preserve">. Die Gesellschaft darf nur bis zu 20 Prozent des Wertes des </w:t>
      </w:r>
      <w:r w:rsidR="000B7F06">
        <w:t>OGAW-</w:t>
      </w:r>
      <w:r w:rsidR="008A7406">
        <w:t xml:space="preserve">Sondervermögens in Bankguthaben </w:t>
      </w:r>
      <w:r w:rsidR="00B02ED6">
        <w:t xml:space="preserve">nach Maßgabe </w:t>
      </w:r>
      <w:r w:rsidR="008A7406">
        <w:t xml:space="preserve">des § </w:t>
      </w:r>
      <w:r>
        <w:t xml:space="preserve">195 KAGB </w:t>
      </w:r>
      <w:r w:rsidR="008A7406">
        <w:t xml:space="preserve">bei </w:t>
      </w:r>
      <w:r w:rsidR="0021285D">
        <w:t>demselben</w:t>
      </w:r>
      <w:r w:rsidR="008A7406">
        <w:t xml:space="preserve"> Kreditinstitut anlegen.</w:t>
      </w:r>
    </w:p>
    <w:p w14:paraId="07AF1EB5" w14:textId="7BCFCE44" w:rsidR="00DB5D96" w:rsidRPr="004930AB" w:rsidRDefault="0021285D" w:rsidP="007B136F">
      <w:r>
        <w:t>7</w:t>
      </w:r>
      <w:r w:rsidR="008A7406">
        <w:t xml:space="preserve">. </w:t>
      </w:r>
      <w:r w:rsidR="00DB5D96" w:rsidRPr="004930AB">
        <w:t xml:space="preserve">Die </w:t>
      </w:r>
      <w:r w:rsidR="00DB5D96">
        <w:t>G</w:t>
      </w:r>
      <w:r w:rsidR="00DB5D96" w:rsidRPr="004930AB">
        <w:t>esellschaft hat sicherzustellen, dass</w:t>
      </w:r>
      <w:r w:rsidR="00DB5D96" w:rsidRPr="007B136F">
        <w:t xml:space="preserve"> eine Kombination aus</w:t>
      </w:r>
    </w:p>
    <w:p w14:paraId="6439BC4D" w14:textId="13FBFFF5" w:rsidR="00DB5D96" w:rsidRPr="007B136F" w:rsidRDefault="00F10757" w:rsidP="00F10757">
      <w:pPr>
        <w:tabs>
          <w:tab w:val="left" w:pos="284"/>
        </w:tabs>
      </w:pPr>
      <w:r>
        <w:t>a</w:t>
      </w:r>
      <w:r w:rsidR="00AD20F6">
        <w:t>)</w:t>
      </w:r>
      <w:r>
        <w:tab/>
      </w:r>
      <w:r w:rsidR="0021285D">
        <w:t xml:space="preserve">Wertpapieren </w:t>
      </w:r>
      <w:r w:rsidR="009175AD">
        <w:t>o</w:t>
      </w:r>
      <w:r w:rsidR="0021285D">
        <w:t>d</w:t>
      </w:r>
      <w:r w:rsidR="009175AD">
        <w:t>er</w:t>
      </w:r>
      <w:r w:rsidR="0021285D">
        <w:t xml:space="preserve"> Geldmarktinstrumenten, die von ein und derselben Einrichtung begeben werden,</w:t>
      </w:r>
    </w:p>
    <w:p w14:paraId="15F9B8CE" w14:textId="45971DE4" w:rsidR="00DB5D96" w:rsidRPr="007B136F" w:rsidRDefault="007B136F" w:rsidP="00F10757">
      <w:pPr>
        <w:tabs>
          <w:tab w:val="left" w:pos="284"/>
        </w:tabs>
      </w:pPr>
      <w:r>
        <w:t>b</w:t>
      </w:r>
      <w:r w:rsidR="00AD20F6">
        <w:t>)</w:t>
      </w:r>
      <w:r w:rsidR="00F10757">
        <w:tab/>
      </w:r>
      <w:r w:rsidR="00DB5D96" w:rsidRPr="004930AB">
        <w:t>Einlagen bei dieser Einrichtung</w:t>
      </w:r>
      <w:r w:rsidR="002F4CAB">
        <w:t xml:space="preserve"> und</w:t>
      </w:r>
    </w:p>
    <w:p w14:paraId="283380B8" w14:textId="77777777" w:rsidR="0063170B" w:rsidRDefault="007B136F" w:rsidP="00F10757">
      <w:pPr>
        <w:tabs>
          <w:tab w:val="left" w:pos="284"/>
        </w:tabs>
      </w:pPr>
      <w:r>
        <w:t>c</w:t>
      </w:r>
      <w:r w:rsidR="00AD20F6">
        <w:t>)</w:t>
      </w:r>
      <w:r w:rsidR="00F10757">
        <w:tab/>
      </w:r>
      <w:r w:rsidR="00DB5D96" w:rsidRPr="004930AB">
        <w:t xml:space="preserve">Anrechnungsbeträgen für das </w:t>
      </w:r>
      <w:proofErr w:type="spellStart"/>
      <w:r w:rsidR="00DB5D96" w:rsidRPr="004930AB">
        <w:t>Kontrahentenrisiko</w:t>
      </w:r>
      <w:proofErr w:type="spellEnd"/>
      <w:r w:rsidR="00DB5D96" w:rsidRPr="004930AB">
        <w:t xml:space="preserve"> der mit dieser Einrichtung eingegangenen Geschäfte,</w:t>
      </w:r>
    </w:p>
    <w:p w14:paraId="5ADDCA11" w14:textId="77777777" w:rsidR="008A7406" w:rsidRDefault="00DB5D96">
      <w:r w:rsidRPr="004930AB">
        <w:lastRenderedPageBreak/>
        <w:t xml:space="preserve">20 Prozent des Wertes </w:t>
      </w:r>
      <w:r>
        <w:t xml:space="preserve">des </w:t>
      </w:r>
      <w:r w:rsidR="000B7F06">
        <w:t>OGAW-</w:t>
      </w:r>
      <w:r w:rsidRPr="004930AB">
        <w:t xml:space="preserve">Sondervermögens nicht übersteigt. Satz 1 gilt für die in </w:t>
      </w:r>
      <w:r w:rsidRPr="005B79DA">
        <w:t xml:space="preserve">Absatz </w:t>
      </w:r>
      <w:r w:rsidR="0058138D">
        <w:t>3</w:t>
      </w:r>
      <w:r w:rsidRPr="005B79DA">
        <w:t xml:space="preserve"> </w:t>
      </w:r>
      <w:r w:rsidR="0021285D">
        <w:t xml:space="preserve">und 4 </w:t>
      </w:r>
      <w:r w:rsidRPr="005B79DA">
        <w:t>genannten Emittenten</w:t>
      </w:r>
      <w:r w:rsidRPr="004930AB">
        <w:t xml:space="preserve"> und Garantiegeb</w:t>
      </w:r>
      <w:r w:rsidR="007B136F">
        <w:t>er mit der Maßgabe, dass die G</w:t>
      </w:r>
      <w:r w:rsidRPr="004930AB">
        <w:t xml:space="preserve">esellschaft sicherzustellen hat, dass eine Kombination der in Satz 1 genannten Vermögensgegenstände und Anrechnungsbeträge 35 Prozent des Wertes </w:t>
      </w:r>
      <w:r>
        <w:t xml:space="preserve">des </w:t>
      </w:r>
      <w:r w:rsidR="000B7F06">
        <w:t>OGAW-</w:t>
      </w:r>
      <w:r w:rsidRPr="004930AB">
        <w:t xml:space="preserve">Sondervermögens nicht übersteigt. Die jeweiligen Einzelobergrenzen bleiben </w:t>
      </w:r>
      <w:r>
        <w:t xml:space="preserve">in beiden Fällen </w:t>
      </w:r>
      <w:r w:rsidRPr="004930AB">
        <w:t>unberührt.</w:t>
      </w:r>
    </w:p>
    <w:p w14:paraId="099DC300" w14:textId="7EB60E93" w:rsidR="008A7406" w:rsidRPr="00A832FA" w:rsidRDefault="00007F0D">
      <w:r>
        <w:t>8</w:t>
      </w:r>
      <w:r w:rsidR="008A7406">
        <w:t>. Die in Absatz 3</w:t>
      </w:r>
      <w:r>
        <w:t xml:space="preserve"> und 4</w:t>
      </w:r>
      <w:r w:rsidR="008A7406">
        <w:t xml:space="preserve"> genannten Schuldverschreibungen</w:t>
      </w:r>
      <w:r w:rsidR="00DB5D96">
        <w:t xml:space="preserve">, </w:t>
      </w:r>
      <w:r w:rsidR="008A7406">
        <w:t xml:space="preserve">Schuldscheindarlehen </w:t>
      </w:r>
      <w:r w:rsidR="00DB5D96">
        <w:t xml:space="preserve">und Geldmarktinstrumente </w:t>
      </w:r>
      <w:r w:rsidR="008A7406">
        <w:t xml:space="preserve">werden bei der Anwendung der in Absatz </w:t>
      </w:r>
      <w:r w:rsidR="00E01676">
        <w:t>2</w:t>
      </w:r>
      <w:r w:rsidR="008A7406">
        <w:t xml:space="preserve"> genannten Grenzen von 40 Prozent nicht berücksichtigt. Die in den Absätzen 2</w:t>
      </w:r>
      <w:r w:rsidR="009E724F">
        <w:t xml:space="preserve"> bis</w:t>
      </w:r>
      <w:r w:rsidR="00B46D43">
        <w:t xml:space="preserve"> </w:t>
      </w:r>
      <w:r>
        <w:t xml:space="preserve">4 </w:t>
      </w:r>
      <w:r w:rsidR="008A7406">
        <w:t xml:space="preserve">und Absätzen </w:t>
      </w:r>
      <w:r>
        <w:t xml:space="preserve">6 </w:t>
      </w:r>
      <w:r w:rsidR="008A7406">
        <w:t xml:space="preserve">bis </w:t>
      </w:r>
      <w:r>
        <w:t xml:space="preserve">7 </w:t>
      </w:r>
      <w:r w:rsidR="008A7406">
        <w:t xml:space="preserve">genannten Grenzen dürfen abweichend von der </w:t>
      </w:r>
      <w:r w:rsidR="00CA40D6">
        <w:t>Regelung in Absatz 7 nicht kumuliert werden.</w:t>
      </w:r>
    </w:p>
    <w:p w14:paraId="38E13F98" w14:textId="295A2BFE" w:rsidR="00A1365D" w:rsidRPr="00BA4258" w:rsidRDefault="002F4CAB" w:rsidP="00F10757">
      <w:r>
        <w:t>9</w:t>
      </w:r>
      <w:r w:rsidR="008A7406">
        <w:t xml:space="preserve">. Die Gesellschaft darf in Anteilen an einem einzigen Investmentvermögen nach Maßgabe des § </w:t>
      </w:r>
      <w:r w:rsidR="008E3391">
        <w:t>196</w:t>
      </w:r>
      <w:r w:rsidR="008A7406">
        <w:t xml:space="preserve"> </w:t>
      </w:r>
      <w:r w:rsidR="007A53A9">
        <w:t>Absatz</w:t>
      </w:r>
      <w:r w:rsidR="008A7406">
        <w:t xml:space="preserve"> 1 </w:t>
      </w:r>
      <w:r w:rsidR="008E3391">
        <w:t xml:space="preserve">KAGB </w:t>
      </w:r>
      <w:r w:rsidR="008A7406">
        <w:t xml:space="preserve">nur bis zu 20 Prozent des Wertes des </w:t>
      </w:r>
      <w:r w:rsidR="000B7F06">
        <w:t>OGAW-</w:t>
      </w:r>
      <w:r w:rsidR="008A7406">
        <w:t xml:space="preserve">Sondervermögens anlegen. In Anteilen an Investmentvermögen nach Maßgabe des § </w:t>
      </w:r>
      <w:r w:rsidR="008E3391">
        <w:t>196</w:t>
      </w:r>
      <w:r w:rsidR="008A7406">
        <w:t xml:space="preserve"> Absatz 1 Satz 2 </w:t>
      </w:r>
      <w:r w:rsidR="008E3391">
        <w:t xml:space="preserve">KAGB </w:t>
      </w:r>
      <w:r w:rsidR="008A7406">
        <w:t xml:space="preserve">darf die Gesellschaft insgesamt nur bis zu 30 Prozent des Wertes des </w:t>
      </w:r>
      <w:r w:rsidR="000B7F06">
        <w:t>OGAW-</w:t>
      </w:r>
      <w:r w:rsidR="008A7406">
        <w:t xml:space="preserve">Sondervermögens anlegen. </w:t>
      </w:r>
      <w:r w:rsidR="00A1365D" w:rsidRPr="00A1365D">
        <w:rPr>
          <w:rFonts w:cs="Arial"/>
          <w:szCs w:val="22"/>
        </w:rPr>
        <w:t xml:space="preserve">Die Gesellschaft darf für Rechnung des </w:t>
      </w:r>
      <w:r w:rsidR="000B7F06">
        <w:rPr>
          <w:rFonts w:cs="Arial"/>
          <w:szCs w:val="22"/>
        </w:rPr>
        <w:t>OGAW-</w:t>
      </w:r>
      <w:r w:rsidR="00A1365D" w:rsidRPr="00A1365D">
        <w:rPr>
          <w:rFonts w:cs="Arial"/>
          <w:szCs w:val="22"/>
        </w:rPr>
        <w:t>Sondervermögens nicht mehr als 25 Prozent der ausgegebenen Antei</w:t>
      </w:r>
      <w:r w:rsidR="00A1365D">
        <w:rPr>
          <w:rFonts w:cs="Arial"/>
          <w:szCs w:val="22"/>
        </w:rPr>
        <w:t>le eines anderen</w:t>
      </w:r>
      <w:r w:rsidR="004845D4">
        <w:rPr>
          <w:rFonts w:cs="Arial"/>
          <w:szCs w:val="22"/>
        </w:rPr>
        <w:t xml:space="preserve"> offenen</w:t>
      </w:r>
      <w:r w:rsidR="00A1365D">
        <w:rPr>
          <w:rFonts w:cs="Arial"/>
          <w:szCs w:val="22"/>
        </w:rPr>
        <w:t xml:space="preserve"> inländischen</w:t>
      </w:r>
      <w:r w:rsidR="004845D4">
        <w:rPr>
          <w:rFonts w:cs="Arial"/>
          <w:szCs w:val="22"/>
        </w:rPr>
        <w:t>, EU- oder</w:t>
      </w:r>
      <w:r w:rsidR="00A1365D" w:rsidRPr="00A1365D">
        <w:rPr>
          <w:rFonts w:cs="Arial"/>
          <w:szCs w:val="22"/>
        </w:rPr>
        <w:t xml:space="preserve"> ausländischen Investmentvermögens</w:t>
      </w:r>
      <w:r w:rsidR="004845D4">
        <w:rPr>
          <w:rFonts w:cs="Arial"/>
          <w:szCs w:val="22"/>
        </w:rPr>
        <w:t xml:space="preserve">, das nach dem Grundsatz der Risikomischung in Vermögensgegenstände im Sinne der §§ 192 bis 198 </w:t>
      </w:r>
      <w:r w:rsidR="002A6354">
        <w:rPr>
          <w:rFonts w:cs="Arial"/>
          <w:szCs w:val="22"/>
        </w:rPr>
        <w:t xml:space="preserve">KAGB </w:t>
      </w:r>
      <w:r w:rsidR="004845D4">
        <w:rPr>
          <w:rFonts w:cs="Arial"/>
          <w:szCs w:val="22"/>
        </w:rPr>
        <w:t>angelegt ist,</w:t>
      </w:r>
      <w:r w:rsidR="00A1365D" w:rsidRPr="00A1365D">
        <w:rPr>
          <w:rFonts w:cs="Arial"/>
          <w:szCs w:val="22"/>
        </w:rPr>
        <w:t xml:space="preserve"> erwerben.</w:t>
      </w:r>
      <w:r w:rsidR="0021615F">
        <w:rPr>
          <w:rFonts w:cs="Arial"/>
          <w:szCs w:val="22"/>
        </w:rPr>
        <w:t xml:space="preserve"> </w:t>
      </w:r>
    </w:p>
    <w:p w14:paraId="34518243" w14:textId="77777777" w:rsidR="00636D47" w:rsidRPr="00636D47" w:rsidRDefault="008A7406" w:rsidP="00636D47">
      <w:pPr>
        <w:pStyle w:val="Paragr-berschr"/>
      </w:pPr>
      <w:r w:rsidRPr="00636D47">
        <w:t>§ 12</w:t>
      </w:r>
      <w:r w:rsidR="00636D47">
        <w:t xml:space="preserve"> Verschmelzung</w:t>
      </w:r>
    </w:p>
    <w:p w14:paraId="35FF083A" w14:textId="77777777" w:rsidR="009449C8" w:rsidRDefault="001C0A53" w:rsidP="00636D47">
      <w:r w:rsidRPr="001C0A53">
        <w:t>1. Die Gesellschaft darf nach Maßgabe de</w:t>
      </w:r>
      <w:r w:rsidR="00AD20F6">
        <w:t>r</w:t>
      </w:r>
      <w:r w:rsidRPr="001C0A53">
        <w:t xml:space="preserve"> </w:t>
      </w:r>
      <w:r w:rsidR="00A57AA3">
        <w:t>§§ 181 bis 191</w:t>
      </w:r>
      <w:r w:rsidR="0063170B">
        <w:t xml:space="preserve"> </w:t>
      </w:r>
      <w:r w:rsidR="0005658D">
        <w:t>KAGB</w:t>
      </w:r>
    </w:p>
    <w:p w14:paraId="13EB6247" w14:textId="68AEB3FF" w:rsidR="0063170B" w:rsidRPr="001F3F60" w:rsidRDefault="001C0A53" w:rsidP="00636D47">
      <w:r w:rsidRPr="00271A0B">
        <w:t>a) sämtliche Vermögensgegenstände und Verbindlichkeiten dieses</w:t>
      </w:r>
      <w:r w:rsidR="009449C8" w:rsidRPr="00271A0B">
        <w:t xml:space="preserve"> </w:t>
      </w:r>
      <w:r w:rsidR="000B7F06">
        <w:t>OGAW-</w:t>
      </w:r>
      <w:r w:rsidRPr="0080651C">
        <w:t xml:space="preserve">Sondervermögens </w:t>
      </w:r>
      <w:r w:rsidRPr="00271A0B">
        <w:t xml:space="preserve">auf ein anderes </w:t>
      </w:r>
      <w:r w:rsidR="00F75DC4">
        <w:t xml:space="preserve">bestehendes </w:t>
      </w:r>
      <w:r w:rsidRPr="00271A0B">
        <w:t>oder ein neues, dadurch gegründetes</w:t>
      </w:r>
      <w:r w:rsidR="009449C8" w:rsidRPr="00271A0B">
        <w:t xml:space="preserve"> </w:t>
      </w:r>
      <w:r w:rsidR="00623458">
        <w:t>OGAW-</w:t>
      </w:r>
      <w:r w:rsidR="00271A0B" w:rsidRPr="001F3F60">
        <w:t xml:space="preserve">Sondervermögen </w:t>
      </w:r>
      <w:r w:rsidR="00271A0B" w:rsidRPr="001F3F60">
        <w:lastRenderedPageBreak/>
        <w:t xml:space="preserve">oder einen EU-OGAW oder eine </w:t>
      </w:r>
      <w:r w:rsidR="00125412" w:rsidRPr="001F3F60">
        <w:t>OGAW-</w:t>
      </w:r>
      <w:r w:rsidR="00271A0B" w:rsidRPr="001F3F60">
        <w:t>Investmentaktiengesellschaft mit veränderlichem Kapital</w:t>
      </w:r>
      <w:r w:rsidRPr="001F3F60">
        <w:t xml:space="preserve"> übertragen;</w:t>
      </w:r>
    </w:p>
    <w:p w14:paraId="48260307" w14:textId="25082D51" w:rsidR="0063170B" w:rsidRPr="001F3F60" w:rsidRDefault="001C0A53" w:rsidP="00636D47">
      <w:r w:rsidRPr="001F3F60">
        <w:t>b) sämtliche Vermögensgegenstände und Verbindlichkeiten eines anderen</w:t>
      </w:r>
      <w:r w:rsidR="009449C8" w:rsidRPr="001F3F60">
        <w:t xml:space="preserve"> </w:t>
      </w:r>
      <w:r w:rsidR="00D84A38" w:rsidRPr="001F3F60">
        <w:t>offenen</w:t>
      </w:r>
      <w:r w:rsidRPr="001F3F60">
        <w:t xml:space="preserve"> </w:t>
      </w:r>
      <w:r w:rsidR="004754F5" w:rsidRPr="001F3F60">
        <w:t>Publikums</w:t>
      </w:r>
      <w:r w:rsidR="00B1232A" w:rsidRPr="001F3F60">
        <w:t>i</w:t>
      </w:r>
      <w:r w:rsidRPr="001F3F60">
        <w:t>nvestmentvermögens</w:t>
      </w:r>
      <w:r w:rsidR="00D84A38" w:rsidRPr="001F3F60">
        <w:t xml:space="preserve"> </w:t>
      </w:r>
      <w:r w:rsidRPr="001F3F60">
        <w:t xml:space="preserve">in dieses </w:t>
      </w:r>
      <w:r w:rsidR="00125412" w:rsidRPr="001F3F60">
        <w:t>OGAW-</w:t>
      </w:r>
      <w:r w:rsidRPr="001F3F60">
        <w:t>Sondervermögen aufnehmen</w:t>
      </w:r>
      <w:r w:rsidR="00AD20F6" w:rsidRPr="001F3F60">
        <w:t>.</w:t>
      </w:r>
    </w:p>
    <w:p w14:paraId="754EF716" w14:textId="77777777" w:rsidR="009449C8" w:rsidRPr="001F3F60" w:rsidRDefault="001C0A53" w:rsidP="00636D47">
      <w:r w:rsidRPr="001F3F60">
        <w:t>2. Die Verschmelzung bedarf der Genehmigung der jeweils</w:t>
      </w:r>
      <w:r w:rsidR="009449C8" w:rsidRPr="001F3F60">
        <w:t xml:space="preserve"> zuständigen Aufsichtsbehörde. </w:t>
      </w:r>
      <w:r w:rsidRPr="001F3F60">
        <w:t>Die Einzelheiten des Verfahrens ergeben sich</w:t>
      </w:r>
      <w:r w:rsidR="009449C8" w:rsidRPr="001F3F60">
        <w:t xml:space="preserve"> </w:t>
      </w:r>
      <w:r w:rsidRPr="001F3F60">
        <w:t xml:space="preserve">aus den </w:t>
      </w:r>
      <w:r w:rsidR="00FE5C3B" w:rsidRPr="001F3F60">
        <w:t>§§</w:t>
      </w:r>
      <w:r w:rsidR="004A1842" w:rsidRPr="001F3F60">
        <w:t>18</w:t>
      </w:r>
      <w:r w:rsidR="005521CD" w:rsidRPr="001F3F60">
        <w:t>2</w:t>
      </w:r>
      <w:r w:rsidR="004A1842" w:rsidRPr="001F3F60">
        <w:t xml:space="preserve"> bis 191 KAGB</w:t>
      </w:r>
      <w:r w:rsidRPr="001F3F60">
        <w:t>.</w:t>
      </w:r>
    </w:p>
    <w:p w14:paraId="7169F522" w14:textId="45BF4B2D" w:rsidR="00940A8B" w:rsidRPr="00636D47" w:rsidRDefault="001C0A53" w:rsidP="00636D47">
      <w:r w:rsidRPr="001F3F60">
        <w:t xml:space="preserve">3. </w:t>
      </w:r>
      <w:r w:rsidR="005521CD" w:rsidRPr="001F3F60">
        <w:t xml:space="preserve">Das </w:t>
      </w:r>
      <w:r w:rsidR="000B7F06" w:rsidRPr="001F3F60">
        <w:t>OGAW-</w:t>
      </w:r>
      <w:r w:rsidR="005521CD" w:rsidRPr="001F3F60">
        <w:t xml:space="preserve">Sondervermögen darf nur mit einem </w:t>
      </w:r>
      <w:r w:rsidR="004754F5" w:rsidRPr="001F3F60">
        <w:t>Publikums</w:t>
      </w:r>
      <w:r w:rsidR="00B1232A" w:rsidRPr="001F3F60">
        <w:t>i</w:t>
      </w:r>
      <w:r w:rsidR="005521CD" w:rsidRPr="001F3F60">
        <w:t>nvestmentvermögen verschmolzen werden</w:t>
      </w:r>
      <w:r w:rsidR="005521CD">
        <w:t xml:space="preserve">, </w:t>
      </w:r>
      <w:r w:rsidR="000117B3">
        <w:t>das</w:t>
      </w:r>
      <w:r w:rsidR="002A6354">
        <w:t xml:space="preserve"> kein OGAW </w:t>
      </w:r>
      <w:r w:rsidR="000117B3">
        <w:t>ist</w:t>
      </w:r>
      <w:r w:rsidR="005521CD">
        <w:t>, wenn das übernehmende oder neugegründete Investmentvermögen weiterhin ein OGAW</w:t>
      </w:r>
      <w:r w:rsidR="002A6354">
        <w:t xml:space="preserve"> ist</w:t>
      </w:r>
      <w:r w:rsidR="005521CD">
        <w:t xml:space="preserve">. </w:t>
      </w:r>
      <w:r w:rsidRPr="001C0A53">
        <w:t>Verschmelzungen eines EU-</w:t>
      </w:r>
      <w:r w:rsidR="006F634E">
        <w:t>OGAW</w:t>
      </w:r>
      <w:r w:rsidR="006F634E" w:rsidRPr="001C0A53">
        <w:t xml:space="preserve"> </w:t>
      </w:r>
      <w:r w:rsidRPr="001C0A53">
        <w:t xml:space="preserve">auf das </w:t>
      </w:r>
      <w:r w:rsidR="000B7F06">
        <w:t>OGAW-</w:t>
      </w:r>
      <w:r w:rsidRPr="001C0A53">
        <w:t xml:space="preserve">Sondervermögen können darüber hinaus gemäß den Vorgaben des Artikels 2 </w:t>
      </w:r>
      <w:r w:rsidR="007A53A9">
        <w:t>Absatz</w:t>
      </w:r>
      <w:r w:rsidRPr="001C0A53">
        <w:t xml:space="preserve"> 1 Buchstabe p Ziffer iii der Richtlinie 2009/65/EG erfolgen.</w:t>
      </w:r>
    </w:p>
    <w:p w14:paraId="08EE1A28" w14:textId="77777777" w:rsidR="008A7406" w:rsidRDefault="008A7406">
      <w:pPr>
        <w:pStyle w:val="Paragr-berschr"/>
      </w:pPr>
      <w:r>
        <w:t xml:space="preserve">§ 13 </w:t>
      </w:r>
      <w:r w:rsidR="00606C2A">
        <w:t>Wertpapier-</w:t>
      </w:r>
      <w:r>
        <w:t>Darlehen</w:t>
      </w:r>
    </w:p>
    <w:p w14:paraId="316E2D4D" w14:textId="77777777" w:rsidR="0063170B" w:rsidRDefault="008A7406">
      <w:pPr>
        <w:keepLines/>
      </w:pPr>
      <w:r>
        <w:t>1. Die Gesellschaft darf für Rechnung d</w:t>
      </w:r>
      <w:r w:rsidR="009449C8">
        <w:t xml:space="preserve">es </w:t>
      </w:r>
      <w:r w:rsidR="000B7F06">
        <w:t>OGAW-</w:t>
      </w:r>
      <w:r w:rsidR="009449C8">
        <w:t>Sondervermögens einem Wertpa</w:t>
      </w:r>
      <w:r>
        <w:t xml:space="preserve">pier-Darlehensnehmer gegen ein marktgerechtes Entgelt nach Übertragung ausreichender Sicherheiten </w:t>
      </w:r>
      <w:r w:rsidR="00443EA5">
        <w:t xml:space="preserve">gemäß § 200 Absatz 2 </w:t>
      </w:r>
      <w:r w:rsidR="000C4EE1">
        <w:t xml:space="preserve">KAGB </w:t>
      </w:r>
      <w:r>
        <w:t xml:space="preserve">ein </w:t>
      </w:r>
      <w:r w:rsidR="00FB647A">
        <w:t xml:space="preserve">jederzeit kündbares </w:t>
      </w:r>
      <w:r>
        <w:t>Wertpapier-Darlehen gewähren</w:t>
      </w:r>
      <w:r w:rsidR="004C100E">
        <w:t>.</w:t>
      </w:r>
      <w:r>
        <w:t xml:space="preserve"> </w:t>
      </w:r>
      <w:r w:rsidR="004C100E">
        <w:t>D</w:t>
      </w:r>
      <w:r>
        <w:t xml:space="preserve">er Kurswert der zu übertragenden Wertpapiere </w:t>
      </w:r>
      <w:r w:rsidR="004C100E">
        <w:t xml:space="preserve">darf </w:t>
      </w:r>
      <w:r>
        <w:t>zusammen mit dem Kurswert</w:t>
      </w:r>
      <w:r w:rsidR="009449C8">
        <w:t xml:space="preserve"> der für Rechnung des </w:t>
      </w:r>
      <w:r w:rsidR="000B7F06">
        <w:t>OGAW-</w:t>
      </w:r>
      <w:r w:rsidR="009449C8">
        <w:t>Sonderver</w:t>
      </w:r>
      <w:r>
        <w:t>mögens demselben Wertpapier-Darlehensnehmer</w:t>
      </w:r>
      <w:r w:rsidR="00FC5B6A">
        <w:t xml:space="preserve"> einschließlich konzernangehöriger Unternehmen im Sinne des § 290 HGB</w:t>
      </w:r>
      <w:r>
        <w:t xml:space="preserve"> bereits als Wertpapier-Darlehen übertragene</w:t>
      </w:r>
      <w:r w:rsidR="004C100E">
        <w:t>n</w:t>
      </w:r>
      <w:r>
        <w:t xml:space="preserve"> Wertpapiere 10 Prozent des Wertes des </w:t>
      </w:r>
      <w:r w:rsidR="000B7F06">
        <w:t>OGAW-</w:t>
      </w:r>
      <w:r>
        <w:t>Sondervermögens nicht übersteig</w:t>
      </w:r>
      <w:r w:rsidR="004C100E">
        <w:t>en</w:t>
      </w:r>
      <w:r>
        <w:t>.</w:t>
      </w:r>
    </w:p>
    <w:p w14:paraId="6ACCA25C" w14:textId="77777777" w:rsidR="00816732" w:rsidRDefault="0001197B">
      <w:pPr>
        <w:keepLines/>
      </w:pPr>
      <w:r>
        <w:lastRenderedPageBreak/>
        <w:t>2</w:t>
      </w:r>
      <w:r w:rsidR="008A7406">
        <w:t xml:space="preserve">. </w:t>
      </w:r>
      <w:r w:rsidR="00733016">
        <w:t xml:space="preserve">Werden </w:t>
      </w:r>
      <w:r w:rsidR="008A7406">
        <w:t>die Sicherheit</w:t>
      </w:r>
      <w:r w:rsidR="00733016">
        <w:t>en</w:t>
      </w:r>
      <w:r w:rsidR="008A7406">
        <w:t xml:space="preserve"> für die übertragenen Wertpapiere vom Wertpapier-Darlehensnehmer in Guthaben erbracht,</w:t>
      </w:r>
      <w:r w:rsidR="004D1FBD" w:rsidRPr="004D1FBD">
        <w:t xml:space="preserve"> </w:t>
      </w:r>
      <w:r w:rsidR="004D1FBD">
        <w:t>m</w:t>
      </w:r>
      <w:r w:rsidR="00733016">
        <w:t>ü</w:t>
      </w:r>
      <w:r w:rsidR="004D1FBD">
        <w:t>ss</w:t>
      </w:r>
      <w:r w:rsidR="00733016">
        <w:t>en</w:t>
      </w:r>
      <w:r w:rsidR="004D1FBD">
        <w:t xml:space="preserve"> d</w:t>
      </w:r>
      <w:r w:rsidR="00733016">
        <w:t>ie</w:t>
      </w:r>
      <w:r w:rsidR="004D1FBD">
        <w:t xml:space="preserve"> Guthaben auf Sperrkonten gemäß § 200 Absatz 2 Satz 3 Nr. 1 KAGB unterhalten werden. Alternativ</w:t>
      </w:r>
      <w:r w:rsidR="008A7406">
        <w:t xml:space="preserve"> darf die Gesellschaft von der Möglichkeit Gebrauch machen, diese Guthaben in der Währung des Guthabens </w:t>
      </w:r>
      <w:r w:rsidR="00816732">
        <w:t xml:space="preserve">in folgende Vermögensgegenstände </w:t>
      </w:r>
      <w:r w:rsidR="008A7406">
        <w:t>anzulegen</w:t>
      </w:r>
      <w:r w:rsidR="00816732">
        <w:t>:</w:t>
      </w:r>
    </w:p>
    <w:p w14:paraId="477D96E3" w14:textId="77777777" w:rsidR="00964B72" w:rsidRPr="0099539A" w:rsidRDefault="00964B72" w:rsidP="00FF266B">
      <w:pPr>
        <w:pStyle w:val="RevisionNummerierungStufe2"/>
        <w:tabs>
          <w:tab w:val="clear" w:pos="850"/>
          <w:tab w:val="num" w:pos="1275"/>
        </w:tabs>
        <w:spacing w:before="60" w:after="60" w:line="360" w:lineRule="auto"/>
        <w:ind w:left="1276"/>
        <w:rPr>
          <w:color w:val="auto"/>
        </w:rPr>
      </w:pPr>
      <w:r w:rsidRPr="0099539A">
        <w:rPr>
          <w:color w:val="auto"/>
        </w:rPr>
        <w:t>in Schuldverschreibungen, die eine hohe Qualität aufweisen und die vom Bund, einem Land, der Europäischen Union, einem Mitgliedstaat der Europäischen Union oder seinen Gebietskörperschaften, einem anderen Vertragsstaat des Abkommens über den Europäischen Wirtschaftsraum oder einem Drittstaat ausgegeben worden sind,</w:t>
      </w:r>
    </w:p>
    <w:p w14:paraId="381258DC" w14:textId="66967C67" w:rsidR="00964B72" w:rsidRDefault="00964B72" w:rsidP="00FF266B">
      <w:pPr>
        <w:pStyle w:val="RevisionNummerierungStufe2"/>
        <w:tabs>
          <w:tab w:val="clear" w:pos="850"/>
          <w:tab w:val="num" w:pos="1275"/>
        </w:tabs>
        <w:spacing w:before="60" w:after="60" w:line="360" w:lineRule="auto"/>
        <w:ind w:left="1276"/>
        <w:rPr>
          <w:color w:val="auto"/>
        </w:rPr>
      </w:pPr>
      <w:r w:rsidRPr="0099539A">
        <w:rPr>
          <w:color w:val="auto"/>
        </w:rPr>
        <w:t xml:space="preserve">in Geldmarktfonds mit kurzer Laufzeitstruktur entsprechend </w:t>
      </w:r>
      <w:r w:rsidR="005A4E03">
        <w:rPr>
          <w:color w:val="auto"/>
        </w:rPr>
        <w:t>de</w:t>
      </w:r>
      <w:r w:rsidR="000220D9">
        <w:rPr>
          <w:color w:val="auto"/>
        </w:rPr>
        <w:t>n</w:t>
      </w:r>
      <w:r w:rsidR="005A4E03">
        <w:rPr>
          <w:color w:val="auto"/>
        </w:rPr>
        <w:t xml:space="preserve"> </w:t>
      </w:r>
      <w:r w:rsidRPr="0099539A">
        <w:rPr>
          <w:color w:val="auto"/>
        </w:rPr>
        <w:t xml:space="preserve">von der Bundesanstalt auf Grundlage von § 4 Absatz 2 </w:t>
      </w:r>
      <w:r w:rsidR="00A17D67">
        <w:rPr>
          <w:color w:val="auto"/>
        </w:rPr>
        <w:t xml:space="preserve">KAGB </w:t>
      </w:r>
      <w:r w:rsidRPr="0099539A">
        <w:rPr>
          <w:color w:val="auto"/>
        </w:rPr>
        <w:t>erlassenen Richtlinien oder</w:t>
      </w:r>
    </w:p>
    <w:p w14:paraId="32E7B3F5" w14:textId="5BC8A61E" w:rsidR="00FF266B" w:rsidRPr="00FF266B" w:rsidRDefault="00964B72" w:rsidP="00FF266B">
      <w:pPr>
        <w:pStyle w:val="RevisionNummerierungStufe2"/>
        <w:tabs>
          <w:tab w:val="clear" w:pos="850"/>
          <w:tab w:val="num" w:pos="1275"/>
        </w:tabs>
        <w:spacing w:before="60" w:after="60" w:line="360" w:lineRule="auto"/>
        <w:ind w:left="1276"/>
        <w:rPr>
          <w:color w:val="auto"/>
        </w:rPr>
      </w:pPr>
      <w:r w:rsidRPr="00FF266B">
        <w:rPr>
          <w:color w:val="auto"/>
        </w:rPr>
        <w:t xml:space="preserve">im Wege eines </w:t>
      </w:r>
      <w:r w:rsidR="005A4E03">
        <w:rPr>
          <w:color w:val="auto"/>
        </w:rPr>
        <w:t xml:space="preserve">umgekehrten </w:t>
      </w:r>
      <w:r w:rsidRPr="00FF266B">
        <w:rPr>
          <w:color w:val="auto"/>
        </w:rPr>
        <w:t>Pensionsgeschäftes mit einem Kreditinstitut, das die jederzeitige Rückforderung des aufgelaufenen Guthabens gewährleistet.</w:t>
      </w:r>
    </w:p>
    <w:p w14:paraId="7DEF9524" w14:textId="77777777" w:rsidR="00FF266B" w:rsidRPr="00FF266B" w:rsidRDefault="00964B72" w:rsidP="00FF266B">
      <w:pPr>
        <w:pStyle w:val="RevisionNummerierungStufe2"/>
        <w:numPr>
          <w:ilvl w:val="0"/>
          <w:numId w:val="0"/>
        </w:numPr>
        <w:spacing w:before="0" w:after="360" w:line="360" w:lineRule="auto"/>
        <w:rPr>
          <w:color w:val="auto"/>
          <w:szCs w:val="20"/>
        </w:rPr>
      </w:pPr>
      <w:r w:rsidRPr="00FF266B">
        <w:rPr>
          <w:color w:val="auto"/>
          <w:szCs w:val="20"/>
        </w:rPr>
        <w:t>Die Erträge aus der Anlage der Sicherheiten stehen dem OGAW-Sondervermögen zu.</w:t>
      </w:r>
    </w:p>
    <w:p w14:paraId="6B398FCB" w14:textId="7D135AAA" w:rsidR="008A7406" w:rsidRDefault="0001197B" w:rsidP="00FF266B">
      <w:r>
        <w:t>3</w:t>
      </w:r>
      <w:r w:rsidR="008A7406">
        <w:t>. Die Gesellschaft kann sich auch eines von einer Wertpapiersammelbank organisierten Systems zur Ver</w:t>
      </w:r>
      <w:r w:rsidR="008A7406">
        <w:softHyphen/>
        <w:t xml:space="preserve">mittlung und Abwicklung der Wertpapier-Darlehen bedienen, </w:t>
      </w:r>
      <w:r w:rsidR="006446BE">
        <w:t xml:space="preserve">das </w:t>
      </w:r>
      <w:r w:rsidR="008A7406">
        <w:t xml:space="preserve">von den Anforderungen </w:t>
      </w:r>
      <w:r w:rsidR="00435D38">
        <w:t xml:space="preserve">nach </w:t>
      </w:r>
      <w:r w:rsidR="008A7406">
        <w:t>§ </w:t>
      </w:r>
      <w:r w:rsidR="004026BA">
        <w:t xml:space="preserve">200 </w:t>
      </w:r>
      <w:r w:rsidR="00435D38">
        <w:t>Absatz 1 Satz 3</w:t>
      </w:r>
      <w:r w:rsidR="004026BA">
        <w:t xml:space="preserve"> KAGB </w:t>
      </w:r>
      <w:r w:rsidR="008A7406">
        <w:t xml:space="preserve">abweicht, wenn </w:t>
      </w:r>
      <w:r w:rsidR="002E3E84">
        <w:t>von dem jederzeitigen Kündigungsrecht nach Absatz 1 nicht abgewichen wird</w:t>
      </w:r>
      <w:r w:rsidR="008A7406">
        <w:t>.</w:t>
      </w:r>
    </w:p>
    <w:p w14:paraId="1A4E598E" w14:textId="77777777" w:rsidR="00A51BAB" w:rsidRDefault="00BA4258" w:rsidP="00FF266B">
      <w:r>
        <w:t xml:space="preserve">4. Sofern in den </w:t>
      </w:r>
      <w:proofErr w:type="spellStart"/>
      <w:r w:rsidR="00770BF0">
        <w:t>BABen</w:t>
      </w:r>
      <w:proofErr w:type="spellEnd"/>
      <w:r w:rsidR="00770BF0">
        <w:t xml:space="preserve"> </w:t>
      </w:r>
      <w:r w:rsidR="00E82D1D">
        <w:t>nichts A</w:t>
      </w:r>
      <w:r>
        <w:t xml:space="preserve">nderweitiges bestimmt ist, darf die Gesellschaft </w:t>
      </w:r>
      <w:r w:rsidR="00C65D4B">
        <w:t>Wertpapier-Darlehen</w:t>
      </w:r>
      <w:r>
        <w:t xml:space="preserve"> auch in Bezug auf Geldmarktinstrumente</w:t>
      </w:r>
      <w:r w:rsidR="007852D6">
        <w:t xml:space="preserve"> und</w:t>
      </w:r>
      <w:r>
        <w:t xml:space="preserve"> Investmentanteile gewähren</w:t>
      </w:r>
      <w:r w:rsidR="000C4EE1">
        <w:t>,</w:t>
      </w:r>
      <w:r>
        <w:t xml:space="preserve"> sofern diese Vermögensgegenstände für das </w:t>
      </w:r>
      <w:r w:rsidR="000B7F06">
        <w:t>OGAW-</w:t>
      </w:r>
      <w:r>
        <w:t>Sondervermögen erwerbbar sind.</w:t>
      </w:r>
      <w:r w:rsidR="00C65D4B">
        <w:t xml:space="preserve"> </w:t>
      </w:r>
      <w:r w:rsidR="004F7F5E">
        <w:t>Die Regelungen de</w:t>
      </w:r>
      <w:r w:rsidR="00294385">
        <w:t>r Absätze 1 bis 3</w:t>
      </w:r>
      <w:r w:rsidR="0063170B">
        <w:t xml:space="preserve"> </w:t>
      </w:r>
      <w:r w:rsidR="004F7F5E">
        <w:t>gelten hierfür sinngemäß.</w:t>
      </w:r>
    </w:p>
    <w:p w14:paraId="4ACE6B56" w14:textId="77777777" w:rsidR="008A7406" w:rsidRDefault="008A7406">
      <w:pPr>
        <w:pStyle w:val="Paragr-berschr"/>
      </w:pPr>
      <w:r>
        <w:lastRenderedPageBreak/>
        <w:t>§ 14 Pensionsgeschäfte</w:t>
      </w:r>
    </w:p>
    <w:p w14:paraId="6BF89868" w14:textId="77777777" w:rsidR="008A7406" w:rsidRDefault="008A7406">
      <w:r>
        <w:t xml:space="preserve">1. Die Gesellschaft darf für Rechnung des </w:t>
      </w:r>
      <w:r w:rsidR="000B7F06">
        <w:t>OGAW-</w:t>
      </w:r>
      <w:r>
        <w:t xml:space="preserve">Sondervermögens </w:t>
      </w:r>
      <w:r w:rsidR="00FB0EC3">
        <w:t xml:space="preserve">jederzeit kündbare </w:t>
      </w:r>
      <w:r>
        <w:t xml:space="preserve">Wertpapier-Pensionsgeschäfte im Sinne von § 340b </w:t>
      </w:r>
      <w:r w:rsidR="007A53A9">
        <w:t>Absatz</w:t>
      </w:r>
      <w:r>
        <w:t xml:space="preserve"> 2 Handelsgesetzbuch gegen Entgelt mit Kreditinstituten oder Finanzdienstleistungsinstituten </w:t>
      </w:r>
      <w:r w:rsidR="000C4EE1">
        <w:t xml:space="preserve">auf der Grundlage standardisierter Rahmenverträge </w:t>
      </w:r>
      <w:r>
        <w:t>abschließen.</w:t>
      </w:r>
    </w:p>
    <w:p w14:paraId="3AFBC9A3" w14:textId="77777777" w:rsidR="008A7406" w:rsidRDefault="008A7406">
      <w:r>
        <w:t xml:space="preserve">2. Die Pensionsgeschäfte müssen Wertpapiere zum Gegenstand haben, die nach den </w:t>
      </w:r>
      <w:r w:rsidR="000C4EE1">
        <w:t>Anlage</w:t>
      </w:r>
      <w:r>
        <w:t xml:space="preserve">bedingungen für das </w:t>
      </w:r>
      <w:r w:rsidR="000B7F06">
        <w:t>OGAW-</w:t>
      </w:r>
      <w:r>
        <w:t>Sondervermögen erworben werden dürfen.</w:t>
      </w:r>
    </w:p>
    <w:p w14:paraId="687355CB" w14:textId="77777777" w:rsidR="008A7406" w:rsidRDefault="008A7406">
      <w:r>
        <w:t>3. Die Pensionsgeschäfte dürfen höchstens eine Laufzeit von 12 Monaten ha</w:t>
      </w:r>
      <w:r>
        <w:softHyphen/>
        <w:t>ben.</w:t>
      </w:r>
    </w:p>
    <w:p w14:paraId="2BAF35F2" w14:textId="56B3D384" w:rsidR="004F7F5E" w:rsidRDefault="00551B2F" w:rsidP="004F7F5E">
      <w:r>
        <w:t xml:space="preserve">4. Sofern in den </w:t>
      </w:r>
      <w:proofErr w:type="spellStart"/>
      <w:r w:rsidR="00770BF0">
        <w:t>BABen</w:t>
      </w:r>
      <w:proofErr w:type="spellEnd"/>
      <w:r w:rsidR="00770BF0">
        <w:t xml:space="preserve"> </w:t>
      </w:r>
      <w:r>
        <w:t>nicht</w:t>
      </w:r>
      <w:r w:rsidR="00E82D1D">
        <w:t>s A</w:t>
      </w:r>
      <w:r>
        <w:t>nderweitiges bestimmt ist, darf die Gesellschaft Pensionsgeschäfte auch in Bezug auf Geld</w:t>
      </w:r>
      <w:r w:rsidR="00E82D1D">
        <w:t>marktinstrumente und</w:t>
      </w:r>
      <w:r>
        <w:t xml:space="preserve"> Investmentanteile</w:t>
      </w:r>
      <w:r w:rsidR="00BA4258">
        <w:t xml:space="preserve"> </w:t>
      </w:r>
      <w:r w:rsidR="003D4E61" w:rsidRPr="00400132">
        <w:t>abschließ</w:t>
      </w:r>
      <w:r w:rsidR="00BA4258">
        <w:t>en</w:t>
      </w:r>
      <w:r w:rsidR="009C68B5">
        <w:t>,</w:t>
      </w:r>
      <w:r w:rsidR="00BA4258">
        <w:t xml:space="preserve"> sofern diese Vermögensgegenstände für das </w:t>
      </w:r>
      <w:r w:rsidR="000B7F06">
        <w:t>OGAW-</w:t>
      </w:r>
      <w:r w:rsidR="00BA4258">
        <w:t>Sondervermögen erwerbbar sind.</w:t>
      </w:r>
      <w:r w:rsidR="004F7F5E" w:rsidRPr="004F7F5E">
        <w:t xml:space="preserve"> </w:t>
      </w:r>
      <w:r w:rsidR="004F7F5E">
        <w:t>Die Regelungen de</w:t>
      </w:r>
      <w:r w:rsidR="00294385">
        <w:t xml:space="preserve">r Absätze 1 bis </w:t>
      </w:r>
      <w:r w:rsidR="00CE4C58">
        <w:t>3</w:t>
      </w:r>
      <w:r w:rsidR="004F7F5E">
        <w:t xml:space="preserve"> gelten hierfür sinngemäß.</w:t>
      </w:r>
    </w:p>
    <w:p w14:paraId="7BB55FA6" w14:textId="77777777" w:rsidR="008A7406" w:rsidRDefault="008A7406">
      <w:pPr>
        <w:pStyle w:val="Paragr-berschr"/>
      </w:pPr>
      <w:r>
        <w:t>§ 15 Kreditaufnahme</w:t>
      </w:r>
    </w:p>
    <w:p w14:paraId="7823623B" w14:textId="77777777" w:rsidR="0063170B" w:rsidRDefault="008A7406">
      <w:r>
        <w:t>Die Gesellschaft darf für gemeinschaft</w:t>
      </w:r>
      <w:r w:rsidR="009449C8">
        <w:t>liche Rechnung der Anleger kurz</w:t>
      </w:r>
      <w:r>
        <w:t xml:space="preserve">fristige Kredite bis zur Höhe von 10 Prozent des </w:t>
      </w:r>
      <w:r w:rsidR="00294385">
        <w:t xml:space="preserve">Wertes des </w:t>
      </w:r>
      <w:r w:rsidR="000B7F06">
        <w:t>OGAW-</w:t>
      </w:r>
      <w:r>
        <w:t xml:space="preserve">Sondervermögens aufnehmen, wenn die Bedingungen der Kreditaufnahme marktüblich sind und die </w:t>
      </w:r>
      <w:r w:rsidR="00FB0EC3">
        <w:t xml:space="preserve">Verwahrstelle </w:t>
      </w:r>
      <w:r>
        <w:t>der Kreditaufnahme zustimmt.</w:t>
      </w:r>
    </w:p>
    <w:p w14:paraId="007C6640" w14:textId="4BC64472" w:rsidR="008A7406" w:rsidRDefault="008A7406">
      <w:pPr>
        <w:pStyle w:val="Paragr-berschr"/>
      </w:pPr>
      <w:r>
        <w:t>§ 16 Anteile</w:t>
      </w:r>
    </w:p>
    <w:p w14:paraId="6793B320" w14:textId="77777777" w:rsidR="00F32F44" w:rsidRDefault="008A7406">
      <w:r>
        <w:t>1.</w:t>
      </w:r>
      <w:r w:rsidR="00001664">
        <w:t xml:space="preserve"> Die Anteile am Sondervermögen lauten auf den Inhaber und werden in </w:t>
      </w:r>
      <w:r w:rsidR="003225BB">
        <w:t>Anteilscheinen verbrieft oder als elektronische Anteilscheine begeben.</w:t>
      </w:r>
      <w:r w:rsidR="00001664">
        <w:t xml:space="preserve"> </w:t>
      </w:r>
    </w:p>
    <w:p w14:paraId="0A67D85B" w14:textId="686972AE" w:rsidR="00DD3BBD" w:rsidRDefault="00F32F44">
      <w:r>
        <w:lastRenderedPageBreak/>
        <w:t xml:space="preserve">2. </w:t>
      </w:r>
      <w:r w:rsidR="003225BB">
        <w:t xml:space="preserve">Verbriefte Anteilscheine </w:t>
      </w:r>
      <w:r w:rsidR="00001664">
        <w:t xml:space="preserve">werden in einer Sammelurkunde verbrieft; </w:t>
      </w:r>
      <w:r w:rsidR="00DB68B7">
        <w:t xml:space="preserve">die Ausgabe von </w:t>
      </w:r>
      <w:r w:rsidR="00001664">
        <w:t xml:space="preserve">Einzelurkunden </w:t>
      </w:r>
      <w:r w:rsidR="00DB68B7">
        <w:t>ist ausgeschlossen</w:t>
      </w:r>
      <w:r w:rsidR="00001664">
        <w:t>.</w:t>
      </w:r>
      <w:r w:rsidR="00DB68B7">
        <w:t xml:space="preserve"> </w:t>
      </w:r>
      <w:r w:rsidR="00257651">
        <w:t>Mit dem Erwerb eines Anteils am Sondervermögen erwirbt der Anleger einen Miteigentumsanteil an der Sammelurkunde.</w:t>
      </w:r>
      <w:r w:rsidR="00667376">
        <w:t xml:space="preserve"> </w:t>
      </w:r>
      <w:r w:rsidR="00094AB5">
        <w:t>Diese</w:t>
      </w:r>
      <w:r w:rsidR="008A6A61">
        <w:t>r</w:t>
      </w:r>
      <w:r w:rsidR="00667376" w:rsidRPr="001F3F60">
        <w:t xml:space="preserve"> </w:t>
      </w:r>
      <w:r w:rsidR="008A6A61">
        <w:t>ist</w:t>
      </w:r>
      <w:r w:rsidR="00667376" w:rsidRPr="001F3F60">
        <w:t xml:space="preserve"> übertragbar, </w:t>
      </w:r>
      <w:bookmarkStart w:id="3" w:name="_Hlk35966604"/>
      <w:r w:rsidR="00667376" w:rsidRPr="001F3F60">
        <w:t xml:space="preserve">soweit in den </w:t>
      </w:r>
      <w:proofErr w:type="spellStart"/>
      <w:r w:rsidR="00667376" w:rsidRPr="001F3F60">
        <w:t>BABen</w:t>
      </w:r>
      <w:proofErr w:type="spellEnd"/>
      <w:r w:rsidR="00667376" w:rsidRPr="001F3F60">
        <w:t xml:space="preserve"> nichts Abweichendes geregelt ist.</w:t>
      </w:r>
      <w:r w:rsidR="00F133BE">
        <w:t xml:space="preserve"> </w:t>
      </w:r>
    </w:p>
    <w:bookmarkEnd w:id="3"/>
    <w:p w14:paraId="15401D59" w14:textId="6A8A24FD" w:rsidR="0063170B" w:rsidRPr="001F3F60" w:rsidRDefault="00DB04C3">
      <w:r>
        <w:t>3</w:t>
      </w:r>
      <w:r w:rsidR="008A7406" w:rsidRPr="001F3F60">
        <w:t xml:space="preserve">. Die Anteile können verschiedene </w:t>
      </w:r>
      <w:r w:rsidR="00B172A1" w:rsidRPr="001F3F60">
        <w:t>Ausgestaltungsmerkmale</w:t>
      </w:r>
      <w:r w:rsidR="008F767D" w:rsidRPr="001F3F60">
        <w:t>, insbesondere</w:t>
      </w:r>
      <w:r w:rsidR="008A7406" w:rsidRPr="001F3F60">
        <w:t xml:space="preserve"> hinsichtlich der Ertragsverwendung, des Ausgabeaufschlags, des Rücknahmeabschlags, der Währung des Anteilwertes, der Verwaltungsvergütung</w:t>
      </w:r>
      <w:r w:rsidR="008F767D" w:rsidRPr="001F3F60">
        <w:t xml:space="preserve">, der Mindestanlagesumme </w:t>
      </w:r>
      <w:r w:rsidR="008A7406" w:rsidRPr="001F3F60">
        <w:t xml:space="preserve">oder einer Kombination dieser Merkmale (Anteilklassen) haben. Die Einzelheiten sind in den </w:t>
      </w:r>
      <w:proofErr w:type="spellStart"/>
      <w:r w:rsidR="00770BF0" w:rsidRPr="001F3F60">
        <w:t>BABen</w:t>
      </w:r>
      <w:proofErr w:type="spellEnd"/>
      <w:r w:rsidR="00770BF0" w:rsidRPr="001F3F60">
        <w:t xml:space="preserve"> </w:t>
      </w:r>
      <w:r w:rsidR="008A7406" w:rsidRPr="001F3F60">
        <w:t>festgelegt.</w:t>
      </w:r>
    </w:p>
    <w:p w14:paraId="6EADAB9D" w14:textId="715E6256" w:rsidR="008A7406" w:rsidRDefault="008A7406">
      <w:pPr>
        <w:pStyle w:val="Paragr-berschr"/>
      </w:pPr>
      <w:r>
        <w:t>§ 17 Ausgabe und Rücknahme von Anteilen,</w:t>
      </w:r>
      <w:r w:rsidR="00B557C5">
        <w:br/>
      </w:r>
      <w:r w:rsidR="002904DA">
        <w:t xml:space="preserve">Beschränkung und </w:t>
      </w:r>
      <w:r w:rsidR="00B557C5">
        <w:t>Aussetzung der Rücknahme</w:t>
      </w:r>
    </w:p>
    <w:p w14:paraId="179D9814" w14:textId="4CEF658B" w:rsidR="008A7406" w:rsidRDefault="008A7406">
      <w:r>
        <w:t>1. Die Anzahl der ausgegebenen Anteile ist grundsätzlich nicht beschränkt. Die Gesell</w:t>
      </w:r>
      <w:r w:rsidR="009449C8">
        <w:t>schaft behält sich vor, die Aus</w:t>
      </w:r>
      <w:r>
        <w:t>gabe von Anteilen vorübergehend oder vollständig einzustellen.</w:t>
      </w:r>
    </w:p>
    <w:p w14:paraId="13DFFC6D" w14:textId="510929BB" w:rsidR="008A7406" w:rsidRDefault="008A7406">
      <w:r>
        <w:t xml:space="preserve">2. Die Anteile können bei der Gesellschaft, der </w:t>
      </w:r>
      <w:r w:rsidR="00BB2D29">
        <w:t xml:space="preserve">Verwahrstelle </w:t>
      </w:r>
      <w:r>
        <w:t>oder durch Vermittlung Dritter erworben werden.</w:t>
      </w:r>
      <w:r w:rsidR="00216AD9">
        <w:t xml:space="preserve"> Die </w:t>
      </w:r>
      <w:proofErr w:type="spellStart"/>
      <w:r w:rsidR="00216AD9">
        <w:t>BABen</w:t>
      </w:r>
      <w:proofErr w:type="spellEnd"/>
      <w:r w:rsidR="00216AD9">
        <w:t xml:space="preserve"> können vorsehen, dass Anteile nur von bestimmten Anlegern erworben und gehalten werden dürfen.</w:t>
      </w:r>
    </w:p>
    <w:p w14:paraId="12E3AE2D" w14:textId="4B5AD180" w:rsidR="008A7406" w:rsidRDefault="008A7406">
      <w:r>
        <w:t xml:space="preserve">3. Die Anleger können von der Gesellschaft </w:t>
      </w:r>
      <w:r w:rsidR="00DF02E6">
        <w:t xml:space="preserve">jederzeit </w:t>
      </w:r>
      <w:r>
        <w:t xml:space="preserve">die Rücknahme der Anteile verlangen. </w:t>
      </w:r>
      <w:r w:rsidR="00D11749" w:rsidRPr="00D11749">
        <w:t xml:space="preserve">Die </w:t>
      </w:r>
      <w:proofErr w:type="spellStart"/>
      <w:r w:rsidR="00D11749" w:rsidRPr="00D11749">
        <w:t>BABen</w:t>
      </w:r>
      <w:proofErr w:type="spellEnd"/>
      <w:r w:rsidR="00D11749" w:rsidRPr="00D11749">
        <w:t xml:space="preserve"> können Rückgabefristen vorsehen.</w:t>
      </w:r>
      <w:r w:rsidR="00D11749">
        <w:t xml:space="preserve"> </w:t>
      </w:r>
      <w:r>
        <w:t xml:space="preserve">Die Gesellschaft ist verpflichtet, die Anteile zum jeweils geltenden Rücknahmepreis für Rechnung </w:t>
      </w:r>
      <w:r w:rsidR="009449C8">
        <w:t xml:space="preserve">des </w:t>
      </w:r>
      <w:r w:rsidR="000B7F06">
        <w:t>OGAW-</w:t>
      </w:r>
      <w:r w:rsidR="009449C8">
        <w:t>Sondervermögens zurückzuneh</w:t>
      </w:r>
      <w:r>
        <w:t xml:space="preserve">men. Rücknahmestelle ist die </w:t>
      </w:r>
      <w:r w:rsidR="00BB2D29">
        <w:t>Verwahrstelle</w:t>
      </w:r>
      <w:r>
        <w:t>.</w:t>
      </w:r>
    </w:p>
    <w:p w14:paraId="691DEB5E" w14:textId="09C0F6F0" w:rsidR="007D6900" w:rsidRDefault="008A7406">
      <w:r>
        <w:t xml:space="preserve">4. </w:t>
      </w:r>
      <w:r w:rsidR="002E11ED">
        <w:t>S</w:t>
      </w:r>
      <w:r w:rsidR="002E11ED" w:rsidRPr="001F3F60">
        <w:t xml:space="preserve">oweit in den </w:t>
      </w:r>
      <w:proofErr w:type="spellStart"/>
      <w:r w:rsidR="002E11ED" w:rsidRPr="001F3F60">
        <w:t>BABen</w:t>
      </w:r>
      <w:proofErr w:type="spellEnd"/>
      <w:r w:rsidR="002E11ED" w:rsidRPr="001F3F60">
        <w:t xml:space="preserve"> nichts Abweichendes geregelt ist</w:t>
      </w:r>
      <w:r w:rsidR="002E11ED">
        <w:t xml:space="preserve">, </w:t>
      </w:r>
      <w:r w:rsidR="002E11ED" w:rsidRPr="002E11ED">
        <w:t>bleibt</w:t>
      </w:r>
      <w:r w:rsidR="002E11ED">
        <w:t xml:space="preserve"> der </w:t>
      </w:r>
      <w:r>
        <w:t>Gesellschaft jedoch vorbeh</w:t>
      </w:r>
      <w:r w:rsidR="009449C8">
        <w:t xml:space="preserve">alten, die Rücknahme </w:t>
      </w:r>
      <w:r w:rsidR="002E11ED">
        <w:t>von Anteilen für bis zu 15 Arbeitstage zu beschränken, wenn die Rückgabeverlangen der Anleger einen Schwellenwert erreichen, ab dem die Rückgabever</w:t>
      </w:r>
      <w:r w:rsidR="002E11ED">
        <w:lastRenderedPageBreak/>
        <w:t xml:space="preserve">langen aufgrund der Liquiditätssituation der Vermögensgegenstände des Sondervermögens nicht mehr im Interesse der Gesamtheit der Anleger ausgeführt werden können. </w:t>
      </w:r>
      <w:bookmarkStart w:id="4" w:name="_Hlk50717071"/>
      <w:r w:rsidR="00567EAB">
        <w:t xml:space="preserve">Der Schwellenwert ist in </w:t>
      </w:r>
      <w:r w:rsidR="003F508C">
        <w:t>den</w:t>
      </w:r>
      <w:r w:rsidR="004E0DCA">
        <w:t xml:space="preserve"> </w:t>
      </w:r>
      <w:proofErr w:type="spellStart"/>
      <w:r w:rsidR="004E0DCA">
        <w:t>BABen</w:t>
      </w:r>
      <w:proofErr w:type="spellEnd"/>
      <w:r w:rsidR="004E0DCA">
        <w:t xml:space="preserve"> festgelegt. E</w:t>
      </w:r>
      <w:r w:rsidR="00567EAB">
        <w:t>r beschreibt das Rückga</w:t>
      </w:r>
      <w:r w:rsidR="004E0DCA">
        <w:t>beverlangen prozentual zum Nettoinventarwert des Sondervermögens.</w:t>
      </w:r>
    </w:p>
    <w:p w14:paraId="66A95C42" w14:textId="315C2A82" w:rsidR="009E46A8" w:rsidRPr="00FB1792" w:rsidRDefault="00141214" w:rsidP="009E46A8">
      <w:r w:rsidRPr="00FB1792">
        <w:t>In diesem Fall wird die Gesellschaft dem Rückgabeverlangen je Anleger nur anteilig entsprechen, im Übrigen entfällt die Rücknahmepflicht.</w:t>
      </w:r>
      <w:bookmarkEnd w:id="4"/>
      <w:r w:rsidR="00E523F0" w:rsidRPr="00FB1792">
        <w:t xml:space="preserve"> </w:t>
      </w:r>
      <w:r w:rsidR="00B515C2" w:rsidRPr="00FB1792">
        <w:t xml:space="preserve">Dies bedeutet, dass </w:t>
      </w:r>
      <w:r w:rsidR="009E46A8" w:rsidRPr="00FB1792">
        <w:t xml:space="preserve">jede Rücknahmeorder </w:t>
      </w:r>
      <w:r w:rsidRPr="00FB1792">
        <w:t xml:space="preserve">nur </w:t>
      </w:r>
      <w:r w:rsidR="009E46A8" w:rsidRPr="00FB1792">
        <w:t xml:space="preserve">anteilig ausgeführt wird. Der nicht ausgeführte Teil der Order (Restorder) wird von der Gesellschaft auch nicht zu einem späteren Zeitpunkt </w:t>
      </w:r>
      <w:r w:rsidR="00E523F0" w:rsidRPr="00FB1792">
        <w:t>ausgeführt,</w:t>
      </w:r>
      <w:r w:rsidR="009E46A8" w:rsidRPr="00FB1792">
        <w:t xml:space="preserve"> sondern verfällt</w:t>
      </w:r>
      <w:r w:rsidRPr="00FB1792">
        <w:t xml:space="preserve"> </w:t>
      </w:r>
      <w:r w:rsidR="009E46A8" w:rsidRPr="00FB1792">
        <w:t>(Pro-Rata-Ansatz mit Verfall der Restorder).</w:t>
      </w:r>
    </w:p>
    <w:p w14:paraId="46669F4D" w14:textId="142E4A9B" w:rsidR="002E11ED" w:rsidRPr="00FB1792" w:rsidRDefault="00F30DAD">
      <w:r w:rsidRPr="00FB1792">
        <w:t>Weitere Einzelheiten zum</w:t>
      </w:r>
      <w:r w:rsidR="002E11ED" w:rsidRPr="00FB1792">
        <w:t xml:space="preserve"> </w:t>
      </w:r>
      <w:bookmarkStart w:id="5" w:name="_Hlk36645302"/>
      <w:r w:rsidR="002E11ED" w:rsidRPr="00FB1792">
        <w:t>Verfahren</w:t>
      </w:r>
      <w:r w:rsidR="006F77E2" w:rsidRPr="00FB1792">
        <w:t xml:space="preserve">sablauf der Rücknahmebeschränkung </w:t>
      </w:r>
      <w:bookmarkEnd w:id="5"/>
      <w:r w:rsidRPr="00FB1792">
        <w:t>sind</w:t>
      </w:r>
      <w:r w:rsidR="006F77E2" w:rsidRPr="00FB1792">
        <w:t xml:space="preserve"> dem </w:t>
      </w:r>
      <w:r w:rsidR="002E11ED" w:rsidRPr="00FB1792">
        <w:t>Verkaufsprospekt</w:t>
      </w:r>
      <w:r w:rsidR="006F77E2" w:rsidRPr="00FB1792">
        <w:t xml:space="preserve"> zu entnehmen.</w:t>
      </w:r>
      <w:r w:rsidR="002E11ED" w:rsidRPr="00FB1792">
        <w:t xml:space="preserve"> Die Gesellschaft hat die Beschränkung der Rücknahme der Anteile sowie deren Aufhebung unverzüglich auf ihrer Internetseite zu veröffentlichen.</w:t>
      </w:r>
    </w:p>
    <w:p w14:paraId="439DC040" w14:textId="77777777" w:rsidR="0063170B" w:rsidRDefault="002E11ED">
      <w:r>
        <w:t>5</w:t>
      </w:r>
      <w:r w:rsidR="008A7406">
        <w:t xml:space="preserve">. Der Gesellschaft bleibt </w:t>
      </w:r>
      <w:r w:rsidR="004E0DCA">
        <w:t xml:space="preserve">zudem </w:t>
      </w:r>
      <w:r w:rsidR="008A7406">
        <w:t>vorbeh</w:t>
      </w:r>
      <w:r w:rsidR="009449C8">
        <w:t>alten, die Rücknahme der Anteil</w:t>
      </w:r>
      <w:r w:rsidR="008A7406">
        <w:t>e</w:t>
      </w:r>
      <w:r w:rsidR="00B35AD8">
        <w:t xml:space="preserve"> gem</w:t>
      </w:r>
      <w:r w:rsidR="00A4698A">
        <w:t>äß</w:t>
      </w:r>
      <w:r w:rsidR="00B35AD8">
        <w:t xml:space="preserve"> §</w:t>
      </w:r>
      <w:r w:rsidR="007D36C0">
        <w:t> </w:t>
      </w:r>
      <w:r w:rsidR="002F19BF">
        <w:t xml:space="preserve">98 </w:t>
      </w:r>
      <w:r w:rsidR="00294385">
        <w:t xml:space="preserve">Absatz 2 </w:t>
      </w:r>
      <w:r w:rsidR="002F19BF">
        <w:t>KAGB</w:t>
      </w:r>
      <w:r w:rsidR="008A7406">
        <w:t xml:space="preserve"> auszusetzen, wenn außergewöhnliche Umstände vorliegen, die eine Aussetzung unter Berücksichtigung der Interessen der Anleger erforderlich erscheinen lassen.</w:t>
      </w:r>
    </w:p>
    <w:p w14:paraId="15E5312B" w14:textId="397F600B" w:rsidR="00D2121B" w:rsidRDefault="002E11ED" w:rsidP="00D2121B">
      <w:r>
        <w:t>6</w:t>
      </w:r>
      <w:r w:rsidR="00D2121B">
        <w:t xml:space="preserve">. Die </w:t>
      </w:r>
      <w:r w:rsidR="002F19BF">
        <w:t>G</w:t>
      </w:r>
      <w:r w:rsidR="00D2121B">
        <w:t>esellschaft hat die Anleger durch Bekanntmachung im</w:t>
      </w:r>
      <w:r w:rsidR="0063170B">
        <w:t xml:space="preserve"> </w:t>
      </w:r>
      <w:r w:rsidR="00D2121B">
        <w:t>Bundesanzeiger und darüber hinaus in einer hinreichend verbreiteten Wirtschafts- oder Tageszeitung oder in den in dem Verkaufsprospekt bezeichneten elektronischen</w:t>
      </w:r>
      <w:r w:rsidR="0063170B">
        <w:t xml:space="preserve"> </w:t>
      </w:r>
      <w:r w:rsidR="00D2121B">
        <w:t xml:space="preserve">Informationsmedien über die Aussetzung gemäß Absatz </w:t>
      </w:r>
      <w:r>
        <w:t>5</w:t>
      </w:r>
      <w:r w:rsidR="00D2121B">
        <w:t xml:space="preserve"> und </w:t>
      </w:r>
      <w:r w:rsidR="00270EEF">
        <w:t>die</w:t>
      </w:r>
      <w:r w:rsidR="00D2121B">
        <w:t xml:space="preserve"> Wiederaufnahme der Rücknahme zu unterrichten. Die Anleger sind über die Aussetzung und Wiederaufnahme der Rücknahme der Anteile unverzüglich nach der Bekanntmachung im Bundesanzeiger mittels eines dauerhaften Datenträgers zu unterrichten.</w:t>
      </w:r>
    </w:p>
    <w:p w14:paraId="149BF0E7" w14:textId="77777777" w:rsidR="008A7406" w:rsidRDefault="008A7406">
      <w:pPr>
        <w:pStyle w:val="Paragr-berschr"/>
      </w:pPr>
      <w:r>
        <w:lastRenderedPageBreak/>
        <w:t>§ 18 Ausgabe- und Rücknahmepreise</w:t>
      </w:r>
    </w:p>
    <w:p w14:paraId="3D757CD3" w14:textId="2492607B" w:rsidR="0063170B" w:rsidRDefault="008A7406">
      <w:r>
        <w:t xml:space="preserve">1. </w:t>
      </w:r>
      <w:r w:rsidR="002F2AFB" w:rsidRPr="00D11749">
        <w:t xml:space="preserve">Soweit in den </w:t>
      </w:r>
      <w:proofErr w:type="spellStart"/>
      <w:r w:rsidR="002F2AFB" w:rsidRPr="00D11749">
        <w:t>BABen</w:t>
      </w:r>
      <w:proofErr w:type="spellEnd"/>
      <w:r w:rsidR="002F2AFB" w:rsidRPr="00D11749">
        <w:t xml:space="preserve"> nichts Abweichendes geregelt ist, werden</w:t>
      </w:r>
      <w:r w:rsidR="002F2AFB" w:rsidRPr="002F2AFB">
        <w:t xml:space="preserve"> zur</w:t>
      </w:r>
      <w:r>
        <w:t xml:space="preserve"> </w:t>
      </w:r>
      <w:r w:rsidR="0042302D">
        <w:t xml:space="preserve">Ermittlung </w:t>
      </w:r>
      <w:r>
        <w:t xml:space="preserve">des Ausgabe- und Rücknahmepreises der Anteile </w:t>
      </w:r>
      <w:r w:rsidR="00A57AA3">
        <w:t>die Verkehrswerte</w:t>
      </w:r>
      <w:r>
        <w:t xml:space="preserve"> der zu dem </w:t>
      </w:r>
      <w:r w:rsidR="000B7F06">
        <w:t>OGAW-</w:t>
      </w:r>
      <w:r>
        <w:t xml:space="preserve">Sondervermögen gehörenden Vermögensgegenstände </w:t>
      </w:r>
      <w:r w:rsidR="00A57AA3">
        <w:t xml:space="preserve">abzüglich der aufgenommenen Kredite und sonstigen Verbindlichkeiten </w:t>
      </w:r>
      <w:r>
        <w:t>(</w:t>
      </w:r>
      <w:r w:rsidR="00A57AA3">
        <w:t>Nettoi</w:t>
      </w:r>
      <w:r>
        <w:t>nventarwert) ermittelt und durch die Zahl der umlaufenden Anteile geteilt (</w:t>
      </w:r>
      <w:r w:rsidR="00B31B6E">
        <w:t>„</w:t>
      </w:r>
      <w:r>
        <w:t>Anteilwert</w:t>
      </w:r>
      <w:r w:rsidR="00B31B6E">
        <w:t>“</w:t>
      </w:r>
      <w:r>
        <w:t xml:space="preserve">). Werden gemäß § 16 Absatz </w:t>
      </w:r>
      <w:r w:rsidR="00DF02E6">
        <w:t>3</w:t>
      </w:r>
      <w:r>
        <w:t xml:space="preserve"> unterschiedliche Anteilklassen für das </w:t>
      </w:r>
      <w:r w:rsidR="000B7F06">
        <w:t>OGAW-</w:t>
      </w:r>
      <w:r>
        <w:t>Sondervermögen eingeführt, ist der Anteilwert sowie der Ausgabe- und Rücknahmepreis für jede Anteilklasse gesondert zu ermitteln.</w:t>
      </w:r>
    </w:p>
    <w:p w14:paraId="5F427940" w14:textId="77777777" w:rsidR="007375F2" w:rsidRDefault="008A7406">
      <w:r>
        <w:t xml:space="preserve">Die Bewertung der Vermögensgegenstände erfolgt gemäß </w:t>
      </w:r>
      <w:r w:rsidR="007375F2">
        <w:t>§</w:t>
      </w:r>
      <w:r w:rsidR="00A57AA3">
        <w:t>§</w:t>
      </w:r>
      <w:r w:rsidR="007375F2">
        <w:t xml:space="preserve"> </w:t>
      </w:r>
      <w:r w:rsidR="00C75887">
        <w:t xml:space="preserve">168 </w:t>
      </w:r>
      <w:r w:rsidR="00A57AA3">
        <w:t>und 169</w:t>
      </w:r>
      <w:r w:rsidR="00C75887">
        <w:t xml:space="preserve"> KAGB</w:t>
      </w:r>
      <w:r w:rsidR="00782AC9">
        <w:t xml:space="preserve"> </w:t>
      </w:r>
      <w:r w:rsidR="00D679E1">
        <w:t xml:space="preserve">und der </w:t>
      </w:r>
      <w:r w:rsidR="00CE4C58">
        <w:t>Kapitalanlage</w:t>
      </w:r>
      <w:r w:rsidR="00D679E1" w:rsidRPr="00D679E1">
        <w:t xml:space="preserve">-Rechnungslegungs- und </w:t>
      </w:r>
      <w:r w:rsidR="006446BE">
        <w:t>-</w:t>
      </w:r>
      <w:r w:rsidR="00D679E1" w:rsidRPr="00D679E1">
        <w:t>Bewertungsverordnung</w:t>
      </w:r>
      <w:r w:rsidR="00D679E1">
        <w:t xml:space="preserve"> (</w:t>
      </w:r>
      <w:r w:rsidR="00CE4C58">
        <w:t>KARBV</w:t>
      </w:r>
      <w:r w:rsidR="00D679E1">
        <w:t>)</w:t>
      </w:r>
      <w:r w:rsidR="00782AC9">
        <w:t>.</w:t>
      </w:r>
    </w:p>
    <w:p w14:paraId="14327AD9" w14:textId="77777777" w:rsidR="0063170B" w:rsidRDefault="008A7406">
      <w:r>
        <w:t xml:space="preserve">2. Der Ausgabepreis entspricht dem </w:t>
      </w:r>
      <w:r w:rsidR="000B4BCA">
        <w:t>Anteilwert</w:t>
      </w:r>
      <w:r w:rsidR="005C31F1">
        <w:t xml:space="preserve"> am OGAW-Sondervermögen</w:t>
      </w:r>
      <w:r w:rsidR="00F60768">
        <w:t>, gegebenenfalls</w:t>
      </w:r>
      <w:r w:rsidR="005C31F1">
        <w:t xml:space="preserve"> </w:t>
      </w:r>
      <w:r>
        <w:t xml:space="preserve">zuzüglich eines in den </w:t>
      </w:r>
      <w:proofErr w:type="spellStart"/>
      <w:r w:rsidR="00F60768">
        <w:t>BABen</w:t>
      </w:r>
      <w:proofErr w:type="spellEnd"/>
      <w:r>
        <w:t xml:space="preserve"> fest</w:t>
      </w:r>
      <w:r w:rsidR="005C31F1">
        <w:t>zu</w:t>
      </w:r>
      <w:r>
        <w:t>setz</w:t>
      </w:r>
      <w:r w:rsidR="005C31F1">
        <w:t>enden</w:t>
      </w:r>
      <w:r>
        <w:t xml:space="preserve"> Ausgabeaufschlags</w:t>
      </w:r>
      <w:r w:rsidR="005C31F1">
        <w:t xml:space="preserve"> gemäß § 165 Absatz 2 Nummer 8 KAGB</w:t>
      </w:r>
      <w:r>
        <w:t xml:space="preserve">. Der Rücknahmepreis entspricht dem </w:t>
      </w:r>
      <w:r w:rsidR="000B4BCA">
        <w:t>Anteilwert</w:t>
      </w:r>
      <w:r w:rsidR="00112E01">
        <w:t xml:space="preserve"> am OGAW-Sondervermögen</w:t>
      </w:r>
      <w:r w:rsidR="00F60768">
        <w:t>,</w:t>
      </w:r>
      <w:r w:rsidR="0063170B">
        <w:t xml:space="preserve"> </w:t>
      </w:r>
      <w:r w:rsidR="004C100E">
        <w:t xml:space="preserve">gegebenenfalls </w:t>
      </w:r>
      <w:r>
        <w:t xml:space="preserve">abzüglich eines in den </w:t>
      </w:r>
      <w:proofErr w:type="spellStart"/>
      <w:r w:rsidR="00770BF0">
        <w:t>BABen</w:t>
      </w:r>
      <w:proofErr w:type="spellEnd"/>
      <w:r w:rsidR="00770BF0">
        <w:t xml:space="preserve"> </w:t>
      </w:r>
      <w:r>
        <w:t>fest</w:t>
      </w:r>
      <w:r w:rsidR="005C31F1">
        <w:t>zusetzenden</w:t>
      </w:r>
      <w:r>
        <w:t xml:space="preserve"> Rücknahmeabschlags</w:t>
      </w:r>
      <w:r w:rsidR="005C31F1">
        <w:t xml:space="preserve"> gemäß § 165 Absatz 2 Nummer 8 KAGB</w:t>
      </w:r>
      <w:r>
        <w:t>.</w:t>
      </w:r>
    </w:p>
    <w:p w14:paraId="6F9F8E34" w14:textId="00F01A62" w:rsidR="008A7406" w:rsidRPr="00A57AA3" w:rsidRDefault="008A7406">
      <w:r>
        <w:t>3. Der Abrechnungsstichtag für Anteil</w:t>
      </w:r>
      <w:r w:rsidR="000651EB">
        <w:t>erwerbs-</w:t>
      </w:r>
      <w:r>
        <w:t xml:space="preserve"> und Rücknahmeaufträge ist spätestens der auf den Eingang des </w:t>
      </w:r>
      <w:r w:rsidR="000651EB">
        <w:t>Anteilserwerbs</w:t>
      </w:r>
      <w:r>
        <w:t xml:space="preserve">- bzw. Rücknahmeauftrags folgende </w:t>
      </w:r>
      <w:r w:rsidRPr="00CA51DA">
        <w:t>Wertermittlungstag</w:t>
      </w:r>
      <w:r>
        <w:t xml:space="preserve">, soweit in den </w:t>
      </w:r>
      <w:proofErr w:type="spellStart"/>
      <w:r w:rsidR="00770BF0">
        <w:t>BABen</w:t>
      </w:r>
      <w:proofErr w:type="spellEnd"/>
      <w:r w:rsidR="00770BF0">
        <w:t xml:space="preserve"> </w:t>
      </w:r>
      <w:r w:rsidRPr="00A57AA3">
        <w:t>nichts anderes bestimmt ist.</w:t>
      </w:r>
    </w:p>
    <w:p w14:paraId="1F8F29D8" w14:textId="77777777" w:rsidR="008257C1" w:rsidRDefault="008257C1" w:rsidP="008257C1">
      <w:pPr>
        <w:pStyle w:val="Bearb-Hinweis"/>
        <w:pBdr>
          <w:top w:val="single" w:sz="4" w:space="1" w:color="auto"/>
          <w:left w:val="single" w:sz="4" w:space="4" w:color="auto"/>
          <w:bottom w:val="single" w:sz="4" w:space="1" w:color="auto"/>
          <w:right w:val="single" w:sz="4" w:space="4" w:color="auto"/>
        </w:pBdr>
      </w:pPr>
      <w:proofErr w:type="spellStart"/>
      <w:r>
        <w:rPr>
          <w:u w:val="single"/>
        </w:rPr>
        <w:t>Bearbeiterhinweis</w:t>
      </w:r>
      <w:proofErr w:type="spellEnd"/>
      <w:r>
        <w:t>:</w:t>
      </w:r>
    </w:p>
    <w:p w14:paraId="3EAAC695" w14:textId="42E403A9" w:rsidR="008257C1" w:rsidRDefault="008257C1" w:rsidP="0096370D">
      <w:pPr>
        <w:pStyle w:val="Bearb-Hinweis"/>
        <w:pBdr>
          <w:top w:val="single" w:sz="4" w:space="1" w:color="auto"/>
          <w:left w:val="single" w:sz="4" w:space="4" w:color="auto"/>
          <w:bottom w:val="single" w:sz="4" w:space="1" w:color="auto"/>
          <w:right w:val="single" w:sz="4" w:space="4" w:color="auto"/>
        </w:pBdr>
      </w:pPr>
      <w:r>
        <w:t xml:space="preserve">Es ist darzustellen, wie häufig die Ausgabe- und Rücknahmepreise ermittelt werden und </w:t>
      </w:r>
      <w:r w:rsidR="0096370D">
        <w:t xml:space="preserve">ggfs. </w:t>
      </w:r>
      <w:r>
        <w:t>wann eine Ermittlung unterbleibt.</w:t>
      </w:r>
      <w:r w:rsidR="0096370D">
        <w:t xml:space="preserve"> </w:t>
      </w:r>
      <w:r w:rsidR="00585D39">
        <w:t>B</w:t>
      </w:r>
      <w:r w:rsidR="00F30023">
        <w:t xml:space="preserve">eispielsweise </w:t>
      </w:r>
      <w:r w:rsidR="00585D39">
        <w:t xml:space="preserve">könnte </w:t>
      </w:r>
      <w:r w:rsidR="00F30023">
        <w:t>wie folgt formuliert werden</w:t>
      </w:r>
      <w:r w:rsidR="00585D39">
        <w:t>:</w:t>
      </w:r>
    </w:p>
    <w:p w14:paraId="387B292F" w14:textId="1325968E" w:rsidR="00CD734D" w:rsidRDefault="008257C1" w:rsidP="00585D39">
      <w:pPr>
        <w:pStyle w:val="Bearb-Hinweis"/>
        <w:pBdr>
          <w:top w:val="single" w:sz="4" w:space="1" w:color="auto"/>
          <w:left w:val="single" w:sz="4" w:space="4" w:color="auto"/>
          <w:bottom w:val="single" w:sz="4" w:space="1" w:color="auto"/>
          <w:right w:val="single" w:sz="4" w:space="4" w:color="auto"/>
        </w:pBdr>
        <w:rPr>
          <w:b/>
        </w:rPr>
      </w:pPr>
      <w:r>
        <w:rPr>
          <w:b/>
        </w:rPr>
        <w:lastRenderedPageBreak/>
        <w:t>„</w:t>
      </w:r>
      <w:r w:rsidR="0096370D">
        <w:rPr>
          <w:b/>
        </w:rPr>
        <w:t xml:space="preserve">4. </w:t>
      </w:r>
      <w:r w:rsidR="00585D39">
        <w:rPr>
          <w:b/>
        </w:rPr>
        <w:t xml:space="preserve">Der </w:t>
      </w:r>
      <w:r w:rsidR="00585D39" w:rsidRPr="00585D39">
        <w:rPr>
          <w:b/>
        </w:rPr>
        <w:t>Nettoinventarwert, der Anteilwert sowie</w:t>
      </w:r>
      <w:r w:rsidR="00585D39">
        <w:rPr>
          <w:b/>
        </w:rPr>
        <w:t xml:space="preserve"> </w:t>
      </w:r>
      <w:r w:rsidR="00585D39" w:rsidRPr="00585D39">
        <w:rPr>
          <w:b/>
        </w:rPr>
        <w:t xml:space="preserve">die </w:t>
      </w:r>
      <w:r w:rsidRPr="008257C1">
        <w:rPr>
          <w:b/>
        </w:rPr>
        <w:t xml:space="preserve">Ausgabe- und Rücknahmepreise werden </w:t>
      </w:r>
      <w:r w:rsidR="00CD734D">
        <w:rPr>
          <w:b/>
        </w:rPr>
        <w:t xml:space="preserve">grundsätzlich </w:t>
      </w:r>
      <w:r w:rsidR="00C34EDF">
        <w:rPr>
          <w:b/>
        </w:rPr>
        <w:t>an jedem Börsentag</w:t>
      </w:r>
      <w:r w:rsidRPr="008257C1">
        <w:rPr>
          <w:b/>
        </w:rPr>
        <w:t xml:space="preserve"> ermittelt</w:t>
      </w:r>
      <w:r>
        <w:rPr>
          <w:b/>
        </w:rPr>
        <w:t>.</w:t>
      </w:r>
      <w:r w:rsidR="00F30023">
        <w:rPr>
          <w:b/>
        </w:rPr>
        <w:t xml:space="preserve"> </w:t>
      </w:r>
      <w:r w:rsidR="00E63504">
        <w:rPr>
          <w:b/>
        </w:rPr>
        <w:t xml:space="preserve">Als Börsentage gelten diejenigen Tage, an denen </w:t>
      </w:r>
      <w:r w:rsidR="00CD734D">
        <w:rPr>
          <w:b/>
        </w:rPr>
        <w:t>alle</w:t>
      </w:r>
      <w:r w:rsidR="00E63504">
        <w:rPr>
          <w:b/>
        </w:rPr>
        <w:t xml:space="preserve"> Börsen oder andere Handelsplätze, die für die Bewertung der zum </w:t>
      </w:r>
      <w:r w:rsidR="00E63504" w:rsidRPr="00E63504">
        <w:rPr>
          <w:b/>
        </w:rPr>
        <w:t>OGAW-Sondervermögen gehörenden Vermögensgegenstände</w:t>
      </w:r>
      <w:r w:rsidR="00E63504">
        <w:rPr>
          <w:b/>
        </w:rPr>
        <w:t xml:space="preserve"> maßgeblichen sind, geöffnet haben. </w:t>
      </w:r>
      <w:r w:rsidR="00E63504" w:rsidRPr="00E63504">
        <w:rPr>
          <w:b/>
        </w:rPr>
        <w:t xml:space="preserve">Dem Verkaufsprospekt ist zu entnehmen, welche </w:t>
      </w:r>
      <w:r w:rsidR="00E63504">
        <w:rPr>
          <w:b/>
        </w:rPr>
        <w:t>Börsen oder anderen Handelsplätze</w:t>
      </w:r>
      <w:r w:rsidR="00E63504" w:rsidRPr="00E63504">
        <w:rPr>
          <w:b/>
        </w:rPr>
        <w:t xml:space="preserve"> unter Berücksichtigung der Anlage</w:t>
      </w:r>
      <w:r w:rsidR="00CD734D">
        <w:rPr>
          <w:b/>
        </w:rPr>
        <w:t>ziele und -</w:t>
      </w:r>
      <w:r w:rsidR="00E63504" w:rsidRPr="00E63504">
        <w:rPr>
          <w:b/>
        </w:rPr>
        <w:t>strategie</w:t>
      </w:r>
      <w:r w:rsidR="00CD734D">
        <w:rPr>
          <w:b/>
        </w:rPr>
        <w:t xml:space="preserve"> des </w:t>
      </w:r>
      <w:r w:rsidR="00CD734D" w:rsidRPr="00E63504">
        <w:rPr>
          <w:b/>
        </w:rPr>
        <w:t>OGAW-Sondervermögen</w:t>
      </w:r>
      <w:r w:rsidR="00CD734D">
        <w:rPr>
          <w:b/>
        </w:rPr>
        <w:t>s</w:t>
      </w:r>
      <w:r w:rsidR="00E63504" w:rsidRPr="00E63504">
        <w:rPr>
          <w:b/>
        </w:rPr>
        <w:t xml:space="preserve"> maßgeblich sind.</w:t>
      </w:r>
      <w:r w:rsidR="00CD734D">
        <w:rPr>
          <w:b/>
        </w:rPr>
        <w:t xml:space="preserve"> </w:t>
      </w:r>
      <w:r w:rsidR="0096370D">
        <w:rPr>
          <w:b/>
        </w:rPr>
        <w:t>A</w:t>
      </w:r>
      <w:r w:rsidR="00CD734D">
        <w:rPr>
          <w:b/>
        </w:rPr>
        <w:t>bweichend können in den</w:t>
      </w:r>
      <w:r w:rsidR="00CD734D" w:rsidRPr="00585D39">
        <w:rPr>
          <w:b/>
        </w:rPr>
        <w:t xml:space="preserve"> </w:t>
      </w:r>
      <w:proofErr w:type="spellStart"/>
      <w:r w:rsidR="00CD734D" w:rsidRPr="00585D39">
        <w:rPr>
          <w:b/>
        </w:rPr>
        <w:t>BABen</w:t>
      </w:r>
      <w:proofErr w:type="spellEnd"/>
      <w:r w:rsidR="00CD734D" w:rsidRPr="00585D39">
        <w:rPr>
          <w:b/>
        </w:rPr>
        <w:t xml:space="preserve"> </w:t>
      </w:r>
      <w:r w:rsidR="00CD734D">
        <w:rPr>
          <w:b/>
        </w:rPr>
        <w:t xml:space="preserve">Tage angegeben sein, die zwar Börsentage sind, an denen jedoch eine Ermittlung unterbleibt.“ </w:t>
      </w:r>
    </w:p>
    <w:p w14:paraId="52BB567B" w14:textId="6B35FF26" w:rsidR="00F30023" w:rsidRPr="00C34EDF" w:rsidRDefault="00C34EDF" w:rsidP="008257C1">
      <w:pPr>
        <w:pStyle w:val="Bearb-Hinweis"/>
        <w:pBdr>
          <w:top w:val="single" w:sz="4" w:space="1" w:color="auto"/>
          <w:left w:val="single" w:sz="4" w:space="4" w:color="auto"/>
          <w:bottom w:val="single" w:sz="4" w:space="1" w:color="auto"/>
          <w:right w:val="single" w:sz="4" w:space="4" w:color="auto"/>
        </w:pBdr>
      </w:pPr>
      <w:r>
        <w:t>o</w:t>
      </w:r>
      <w:r w:rsidR="00F30023" w:rsidRPr="00C34EDF">
        <w:t xml:space="preserve">der </w:t>
      </w:r>
    </w:p>
    <w:p w14:paraId="568CA112" w14:textId="038CF227" w:rsidR="008257C1" w:rsidRPr="00585D39" w:rsidRDefault="00585D39" w:rsidP="00B228EE">
      <w:pPr>
        <w:pStyle w:val="Bearb-Hinweis"/>
        <w:pBdr>
          <w:top w:val="single" w:sz="4" w:space="1" w:color="auto"/>
          <w:left w:val="single" w:sz="4" w:space="4" w:color="auto"/>
          <w:bottom w:val="single" w:sz="4" w:space="1" w:color="auto"/>
          <w:right w:val="single" w:sz="4" w:space="4" w:color="auto"/>
        </w:pBdr>
        <w:rPr>
          <w:b/>
        </w:rPr>
      </w:pPr>
      <w:r>
        <w:rPr>
          <w:b/>
        </w:rPr>
        <w:t>„</w:t>
      </w:r>
      <w:r w:rsidR="0096370D">
        <w:rPr>
          <w:b/>
        </w:rPr>
        <w:t xml:space="preserve">4. </w:t>
      </w:r>
      <w:r w:rsidR="00B228EE" w:rsidRPr="00585D39">
        <w:rPr>
          <w:b/>
        </w:rPr>
        <w:t>Der Nettoinventarwert, der Anteilwert sowie</w:t>
      </w:r>
      <w:r w:rsidR="00C34EDF">
        <w:rPr>
          <w:b/>
        </w:rPr>
        <w:t xml:space="preserve"> </w:t>
      </w:r>
      <w:r w:rsidR="00B228EE" w:rsidRPr="00585D39">
        <w:rPr>
          <w:b/>
        </w:rPr>
        <w:t>die Ausgabe</w:t>
      </w:r>
      <w:r w:rsidR="00C34EDF">
        <w:rPr>
          <w:b/>
        </w:rPr>
        <w:t>-</w:t>
      </w:r>
      <w:r w:rsidR="00B228EE" w:rsidRPr="00585D39">
        <w:rPr>
          <w:b/>
        </w:rPr>
        <w:t xml:space="preserve"> und Rücknahmepreise werden</w:t>
      </w:r>
      <w:r>
        <w:rPr>
          <w:b/>
        </w:rPr>
        <w:t xml:space="preserve"> </w:t>
      </w:r>
      <w:r w:rsidR="00B228EE" w:rsidRPr="00585D39">
        <w:rPr>
          <w:b/>
        </w:rPr>
        <w:t>Montag bis Freitag, außer an gesetzlichen</w:t>
      </w:r>
      <w:r w:rsidRPr="00585D39">
        <w:rPr>
          <w:b/>
        </w:rPr>
        <w:t xml:space="preserve"> </w:t>
      </w:r>
      <w:r w:rsidR="00B228EE" w:rsidRPr="00585D39">
        <w:rPr>
          <w:b/>
        </w:rPr>
        <w:t xml:space="preserve">Feiertagen </w:t>
      </w:r>
      <w:r w:rsidRPr="00585D39">
        <w:rPr>
          <w:b/>
        </w:rPr>
        <w:t>in [Ort]</w:t>
      </w:r>
      <w:r w:rsidR="00B228EE" w:rsidRPr="00585D39">
        <w:rPr>
          <w:b/>
        </w:rPr>
        <w:t xml:space="preserve"> und außer</w:t>
      </w:r>
      <w:r>
        <w:rPr>
          <w:b/>
        </w:rPr>
        <w:t xml:space="preserve"> </w:t>
      </w:r>
      <w:r w:rsidR="00B228EE" w:rsidRPr="00585D39">
        <w:rPr>
          <w:b/>
        </w:rPr>
        <w:t xml:space="preserve">am </w:t>
      </w:r>
      <w:r w:rsidR="00C34EDF">
        <w:rPr>
          <w:b/>
        </w:rPr>
        <w:t xml:space="preserve">[z.B. </w:t>
      </w:r>
      <w:r w:rsidR="00B228EE" w:rsidRPr="00585D39">
        <w:rPr>
          <w:b/>
        </w:rPr>
        <w:t>24.12. und am 31.12.</w:t>
      </w:r>
      <w:r w:rsidR="00C34EDF">
        <w:rPr>
          <w:b/>
        </w:rPr>
        <w:t>]</w:t>
      </w:r>
      <w:r w:rsidR="00B228EE" w:rsidRPr="00585D39">
        <w:rPr>
          <w:b/>
        </w:rPr>
        <w:t>, ermittelt (</w:t>
      </w:r>
      <w:r w:rsidR="00B228EE" w:rsidRPr="00CA51DA">
        <w:rPr>
          <w:b/>
        </w:rPr>
        <w:t>„Bewertungstage“</w:t>
      </w:r>
      <w:r w:rsidR="00B228EE" w:rsidRPr="00585D39">
        <w:rPr>
          <w:b/>
        </w:rPr>
        <w:t xml:space="preserve">). In den </w:t>
      </w:r>
      <w:proofErr w:type="spellStart"/>
      <w:r w:rsidR="00B228EE" w:rsidRPr="00585D39">
        <w:rPr>
          <w:b/>
        </w:rPr>
        <w:t>BABen</w:t>
      </w:r>
      <w:proofErr w:type="spellEnd"/>
      <w:r w:rsidR="00B228EE" w:rsidRPr="00585D39">
        <w:rPr>
          <w:b/>
        </w:rPr>
        <w:t xml:space="preserve"> können darüber hinaus</w:t>
      </w:r>
      <w:r w:rsidR="00C34EDF">
        <w:rPr>
          <w:b/>
        </w:rPr>
        <w:t xml:space="preserve"> </w:t>
      </w:r>
      <w:r w:rsidR="00B228EE" w:rsidRPr="00585D39">
        <w:rPr>
          <w:b/>
        </w:rPr>
        <w:t xml:space="preserve">weitere Tage </w:t>
      </w:r>
      <w:r w:rsidR="00C34EDF">
        <w:rPr>
          <w:b/>
        </w:rPr>
        <w:t xml:space="preserve">angegeben sein, die keine </w:t>
      </w:r>
      <w:r w:rsidR="00B228EE" w:rsidRPr="00CA51DA">
        <w:rPr>
          <w:b/>
        </w:rPr>
        <w:t>Bewertungstage</w:t>
      </w:r>
      <w:r w:rsidR="00B228EE" w:rsidRPr="00585D39">
        <w:rPr>
          <w:b/>
        </w:rPr>
        <w:t xml:space="preserve"> </w:t>
      </w:r>
      <w:r w:rsidR="00C34EDF">
        <w:rPr>
          <w:b/>
        </w:rPr>
        <w:t>sind</w:t>
      </w:r>
      <w:r w:rsidR="00B228EE" w:rsidRPr="00585D39">
        <w:rPr>
          <w:b/>
        </w:rPr>
        <w:t>.</w:t>
      </w:r>
      <w:r w:rsidR="00CD734D">
        <w:rPr>
          <w:b/>
        </w:rPr>
        <w:t>“</w:t>
      </w:r>
    </w:p>
    <w:p w14:paraId="6572FA5D" w14:textId="77777777" w:rsidR="008A7406" w:rsidRDefault="008A7406">
      <w:pPr>
        <w:pStyle w:val="Paragr-berschr"/>
      </w:pPr>
      <w:r>
        <w:t xml:space="preserve">§ 19 </w:t>
      </w:r>
      <w:r w:rsidR="00DE57E2">
        <w:t>Kosten</w:t>
      </w:r>
    </w:p>
    <w:p w14:paraId="06FBB16F" w14:textId="77777777" w:rsidR="0063170B" w:rsidRDefault="008A7406">
      <w:r>
        <w:t xml:space="preserve">In den </w:t>
      </w:r>
      <w:proofErr w:type="spellStart"/>
      <w:r w:rsidR="00770BF0">
        <w:t>BABen</w:t>
      </w:r>
      <w:proofErr w:type="spellEnd"/>
      <w:r w:rsidR="00770BF0">
        <w:t xml:space="preserve"> </w:t>
      </w:r>
      <w:r>
        <w:t>werden die Aufwendungen u</w:t>
      </w:r>
      <w:r w:rsidR="009449C8">
        <w:t xml:space="preserve">nd die der Gesellschaft, der </w:t>
      </w:r>
      <w:r w:rsidR="00C75887">
        <w:t xml:space="preserve">Verwahrstelle </w:t>
      </w:r>
      <w:r>
        <w:t xml:space="preserve">und Dritten zustehenden Vergütungen, die dem </w:t>
      </w:r>
      <w:r w:rsidR="000B7F06">
        <w:t>OGAW-</w:t>
      </w:r>
      <w:r>
        <w:t xml:space="preserve">Sondervermögen belastet werden können, genannt. Für </w:t>
      </w:r>
      <w:r w:rsidRPr="0090076F">
        <w:t>Vergütungen</w:t>
      </w:r>
      <w:r>
        <w:t xml:space="preserve"> im Sinne von Satz 1 ist in den </w:t>
      </w:r>
      <w:proofErr w:type="spellStart"/>
      <w:r w:rsidR="00770BF0">
        <w:t>BABen</w:t>
      </w:r>
      <w:proofErr w:type="spellEnd"/>
      <w:r w:rsidR="0063170B">
        <w:t xml:space="preserve"> </w:t>
      </w:r>
      <w:r>
        <w:t>darüber hinaus anzugeben, nach welcher Methode, in welcher Höhe und auf</w:t>
      </w:r>
      <w:r w:rsidR="00E82D1D">
        <w:t>g</w:t>
      </w:r>
      <w:r>
        <w:t>rund welcher Berechnung sie zu leisten sind.</w:t>
      </w:r>
    </w:p>
    <w:p w14:paraId="4335D480" w14:textId="77777777" w:rsidR="0042302D" w:rsidRDefault="0042302D" w:rsidP="0042302D">
      <w:pPr>
        <w:pStyle w:val="Bearb-Hinweis"/>
        <w:pBdr>
          <w:top w:val="single" w:sz="4" w:space="1" w:color="auto"/>
          <w:left w:val="single" w:sz="4" w:space="4" w:color="auto"/>
          <w:bottom w:val="single" w:sz="4" w:space="1" w:color="auto"/>
          <w:right w:val="single" w:sz="4" w:space="4" w:color="auto"/>
        </w:pBdr>
      </w:pPr>
      <w:proofErr w:type="spellStart"/>
      <w:r>
        <w:rPr>
          <w:u w:val="single"/>
        </w:rPr>
        <w:t>Bearbeiterhinweis</w:t>
      </w:r>
      <w:proofErr w:type="spellEnd"/>
      <w:r>
        <w:t>:</w:t>
      </w:r>
    </w:p>
    <w:p w14:paraId="0325FC29" w14:textId="179FDA1A" w:rsidR="0042302D" w:rsidRDefault="00FA496D" w:rsidP="0042302D">
      <w:pPr>
        <w:pStyle w:val="Bearb-Hinweis"/>
        <w:pBdr>
          <w:top w:val="single" w:sz="4" w:space="1" w:color="auto"/>
          <w:left w:val="single" w:sz="4" w:space="4" w:color="auto"/>
          <w:bottom w:val="single" w:sz="4" w:space="1" w:color="auto"/>
          <w:right w:val="single" w:sz="4" w:space="4" w:color="auto"/>
        </w:pBdr>
      </w:pPr>
      <w:r>
        <w:lastRenderedPageBreak/>
        <w:t xml:space="preserve">An dieser Stelle oder in den </w:t>
      </w:r>
      <w:proofErr w:type="spellStart"/>
      <w:r>
        <w:t>BABen</w:t>
      </w:r>
      <w:proofErr w:type="spellEnd"/>
      <w:r>
        <w:t xml:space="preserve"> </w:t>
      </w:r>
      <w:r w:rsidR="0042302D">
        <w:t xml:space="preserve">könnte ergänzend erläutert werden, ob eine </w:t>
      </w:r>
      <w:r w:rsidR="00585D39">
        <w:t xml:space="preserve">Abgrenzung der Vergütungen erfolgt, so dass bis zu deren Entnahme eine Verbindlichkeit beim OGAW-Sondervermögen entsteht und der tatsächliche Entnahmezeitpunkt daher keinen Einfluss auf den Nettoinventarwert hat. </w:t>
      </w:r>
    </w:p>
    <w:p w14:paraId="767BD61F" w14:textId="77777777" w:rsidR="0042302D" w:rsidRDefault="0042302D"/>
    <w:p w14:paraId="00D2952B" w14:textId="77777777" w:rsidR="008A7406" w:rsidRDefault="008A7406">
      <w:pPr>
        <w:pStyle w:val="Paragr-berschr"/>
      </w:pPr>
      <w:r>
        <w:t>§ 20 Rechnungslegung</w:t>
      </w:r>
    </w:p>
    <w:p w14:paraId="29B13BAF" w14:textId="6DEE3A06" w:rsidR="008A7406" w:rsidRDefault="008A7406">
      <w:r>
        <w:t xml:space="preserve">1. </w:t>
      </w:r>
      <w:proofErr w:type="gramStart"/>
      <w:r>
        <w:t>Spätestens</w:t>
      </w:r>
      <w:proofErr w:type="gramEnd"/>
      <w:r>
        <w:t xml:space="preserve"> </w:t>
      </w:r>
      <w:r w:rsidR="009449C8">
        <w:t xml:space="preserve">vier </w:t>
      </w:r>
      <w:r>
        <w:t xml:space="preserve">Monate nach Ablauf des Geschäftsjahres des </w:t>
      </w:r>
      <w:r w:rsidR="000B7F06">
        <w:t>OGAW-</w:t>
      </w:r>
      <w:r>
        <w:t>Sondervermögens</w:t>
      </w:r>
      <w:r w:rsidR="00F72F05">
        <w:t xml:space="preserve"> </w:t>
      </w:r>
      <w:r>
        <w:t>macht die Gesellschaft einen Jahresbericht einschließlich Ertrags- und Aufwandsrechnung gemäß § </w:t>
      </w:r>
      <w:r w:rsidR="00214E5C">
        <w:t xml:space="preserve">101 </w:t>
      </w:r>
      <w:r>
        <w:t>Abs</w:t>
      </w:r>
      <w:r w:rsidR="00142AD8">
        <w:t>atz</w:t>
      </w:r>
      <w:r>
        <w:t> 1</w:t>
      </w:r>
      <w:r w:rsidR="003852D9">
        <w:t>,</w:t>
      </w:r>
      <w:r w:rsidR="00716F2A">
        <w:t xml:space="preserve"> </w:t>
      </w:r>
      <w:r w:rsidR="003852D9">
        <w:t>2</w:t>
      </w:r>
      <w:r w:rsidR="00214E5C">
        <w:t xml:space="preserve"> und </w:t>
      </w:r>
      <w:r w:rsidR="003852D9">
        <w:t>4</w:t>
      </w:r>
      <w:r>
        <w:t> </w:t>
      </w:r>
      <w:r w:rsidR="00214E5C">
        <w:t>KAGB</w:t>
      </w:r>
      <w:r>
        <w:t xml:space="preserve"> bekannt.</w:t>
      </w:r>
    </w:p>
    <w:p w14:paraId="0F4B70BC" w14:textId="77777777" w:rsidR="008A7406" w:rsidRDefault="008A7406">
      <w:r>
        <w:t xml:space="preserve">2. </w:t>
      </w:r>
      <w:proofErr w:type="gramStart"/>
      <w:r>
        <w:t>Spätestens</w:t>
      </w:r>
      <w:proofErr w:type="gramEnd"/>
      <w:r>
        <w:t xml:space="preserve"> zwei Monate nach der Mitte des Geschäftsjahres macht die Ge</w:t>
      </w:r>
      <w:r>
        <w:softHyphen/>
        <w:t>sellschaft einen Halbjahresbericht gemäß § </w:t>
      </w:r>
      <w:r w:rsidR="00A009EB">
        <w:t>103</w:t>
      </w:r>
      <w:r w:rsidR="00112E01">
        <w:t xml:space="preserve"> </w:t>
      </w:r>
      <w:r w:rsidR="00A009EB">
        <w:t>KAGB</w:t>
      </w:r>
      <w:r>
        <w:t xml:space="preserve"> bekannt.</w:t>
      </w:r>
    </w:p>
    <w:p w14:paraId="5C309833" w14:textId="5216A5B9" w:rsidR="008A7406" w:rsidRDefault="008A7406" w:rsidP="00636D47">
      <w:r>
        <w:t xml:space="preserve">3. Wird das Recht zur Verwaltung des </w:t>
      </w:r>
      <w:r w:rsidR="000B7F06">
        <w:t>OGAW-</w:t>
      </w:r>
      <w:r>
        <w:t xml:space="preserve">Sondervermögens während des Geschäftsjahres auf </w:t>
      </w:r>
      <w:r w:rsidRPr="00636D47">
        <w:t>eine</w:t>
      </w:r>
      <w:r>
        <w:t xml:space="preserve"> andere Kapital</w:t>
      </w:r>
      <w:r w:rsidR="00142AD8">
        <w:t>verwaltungs</w:t>
      </w:r>
      <w:r>
        <w:t>gesellschaft übertragen</w:t>
      </w:r>
      <w:r w:rsidR="00DE5104">
        <w:t xml:space="preserve"> oder das </w:t>
      </w:r>
      <w:r w:rsidR="000B7F06">
        <w:t>OGAW-</w:t>
      </w:r>
      <w:r w:rsidR="00DE5104">
        <w:t xml:space="preserve">Sondervermögen während des Geschäftsjahres auf ein anderes </w:t>
      </w:r>
      <w:r w:rsidR="005F3C04">
        <w:t>OGAW-</w:t>
      </w:r>
      <w:r w:rsidR="00DE5104">
        <w:t>Sondervermögen</w:t>
      </w:r>
      <w:r w:rsidR="00666AB9">
        <w:t xml:space="preserve">, eine </w:t>
      </w:r>
      <w:r w:rsidR="005F3C04">
        <w:t>OGAW-</w:t>
      </w:r>
      <w:r w:rsidR="00666AB9">
        <w:t>Investmentaktiengesellschaft mit v</w:t>
      </w:r>
      <w:r w:rsidR="005A0EEC">
        <w:t>eränderlich</w:t>
      </w:r>
      <w:r w:rsidR="00666AB9">
        <w:t>em Kapital</w:t>
      </w:r>
      <w:r w:rsidR="00DE5104">
        <w:t xml:space="preserve"> oder </w:t>
      </w:r>
      <w:r w:rsidR="00142AD8">
        <w:t xml:space="preserve">einen </w:t>
      </w:r>
      <w:r w:rsidR="00DE5104">
        <w:t>EU-</w:t>
      </w:r>
      <w:r w:rsidR="00142AD8">
        <w:t>OGAW</w:t>
      </w:r>
      <w:r w:rsidR="00DE5104">
        <w:t xml:space="preserve"> verschmolzen</w:t>
      </w:r>
      <w:r>
        <w:t>, so hat die Gesellschaft auf den Übertragungsstichtag einen Zwischenbericht zu erstellen, der den Anforderungen an einen Jahresbericht gemäß Abs</w:t>
      </w:r>
      <w:r w:rsidR="00142AD8">
        <w:t>atz</w:t>
      </w:r>
      <w:r>
        <w:t xml:space="preserve"> 1 entspricht.</w:t>
      </w:r>
    </w:p>
    <w:p w14:paraId="4F4BD20D" w14:textId="77777777" w:rsidR="00A001D8" w:rsidRDefault="00A001D8">
      <w:r>
        <w:t>4</w:t>
      </w:r>
      <w:r w:rsidRPr="00636D47">
        <w:t xml:space="preserve">. Wird </w:t>
      </w:r>
      <w:r w:rsidR="005C31F1">
        <w:t>das</w:t>
      </w:r>
      <w:r w:rsidR="0063170B">
        <w:t xml:space="preserve"> </w:t>
      </w:r>
      <w:r w:rsidR="000B7F06">
        <w:t>OGAW-</w:t>
      </w:r>
      <w:r w:rsidRPr="00636D47">
        <w:t xml:space="preserve">Sondervermögen abgewickelt, hat die </w:t>
      </w:r>
      <w:r w:rsidR="00142AD8">
        <w:t>Verwahrstelle</w:t>
      </w:r>
      <w:r w:rsidR="00142AD8" w:rsidRPr="00636D47">
        <w:t xml:space="preserve"> </w:t>
      </w:r>
      <w:r w:rsidRPr="00636D47">
        <w:t>jährlich sowie auf den Tag, an dem die Abwicklung beendet ist, einen Abwicklungsbericht zu erstellen, der den Anforderungen an einen Jahresbericht gemäß Absatz 1 entspricht.</w:t>
      </w:r>
    </w:p>
    <w:p w14:paraId="2AC62613" w14:textId="6DAB0643" w:rsidR="0063170B" w:rsidRDefault="00A001D8" w:rsidP="00F72F05">
      <w:r>
        <w:lastRenderedPageBreak/>
        <w:t>5</w:t>
      </w:r>
      <w:r w:rsidR="008A7406">
        <w:t xml:space="preserve">. Die Berichte sind bei der Gesellschaft und der </w:t>
      </w:r>
      <w:r w:rsidR="00142AD8">
        <w:t xml:space="preserve">Verwahrstelle </w:t>
      </w:r>
      <w:r w:rsidR="008A7406">
        <w:t xml:space="preserve">und weiteren Stellen, die im Verkaufsprospekt </w:t>
      </w:r>
      <w:r w:rsidR="009622BA">
        <w:t>und i</w:t>
      </w:r>
      <w:r w:rsidR="006F52A4">
        <w:t>m Basisinformationsblatt</w:t>
      </w:r>
      <w:r w:rsidR="009622BA">
        <w:t xml:space="preserve"> </w:t>
      </w:r>
      <w:r w:rsidR="008A7406">
        <w:t>anzu</w:t>
      </w:r>
      <w:r w:rsidR="009449C8">
        <w:t>geben sind, erhältlich; sie wer</w:t>
      </w:r>
      <w:r w:rsidR="008A7406">
        <w:t>den ferner im Bundesanzeiger bekannt gemacht.</w:t>
      </w:r>
    </w:p>
    <w:p w14:paraId="0EAF6938" w14:textId="77777777" w:rsidR="008A7406" w:rsidRDefault="008A7406">
      <w:pPr>
        <w:pStyle w:val="Paragr-berschr"/>
      </w:pPr>
      <w:r>
        <w:t xml:space="preserve">§ 21 Kündigung und Abwicklung des </w:t>
      </w:r>
      <w:r w:rsidR="000B7F06">
        <w:t>OGAW</w:t>
      </w:r>
      <w:r w:rsidR="00C32DA1">
        <w:t>-</w:t>
      </w:r>
      <w:r>
        <w:t>Sondervermögens</w:t>
      </w:r>
    </w:p>
    <w:p w14:paraId="7A64334D" w14:textId="77777777" w:rsidR="008A7406" w:rsidRDefault="008A7406">
      <w:r>
        <w:t xml:space="preserve">1. Die Gesellschaft kann die Verwaltung des </w:t>
      </w:r>
      <w:r w:rsidR="000B7F06">
        <w:t>OGAW-</w:t>
      </w:r>
      <w:r>
        <w:t xml:space="preserve">Sondervermögens mit einer Frist von mindestens </w:t>
      </w:r>
      <w:r w:rsidR="00C8073E">
        <w:t>sechs</w:t>
      </w:r>
      <w:r>
        <w:t xml:space="preserve"> Monaten durch Bekanntmachung im Bundesanzeiger und darüber hinaus im Jahresbericht oder Halbjahresbericht kündigen. </w:t>
      </w:r>
      <w:r w:rsidR="00CB0F66">
        <w:t>Die Anleger sind über eine nach Satz 1 bekannt gemachte Kündigung mittels eines dauerhaften Datenträgers unverzüglich zu unterrichten.</w:t>
      </w:r>
    </w:p>
    <w:p w14:paraId="71110662" w14:textId="77777777" w:rsidR="0063170B" w:rsidRDefault="008A7406" w:rsidP="00F101A6">
      <w:r>
        <w:t>2. Mit dem Wirksamwerden der Kündigun</w:t>
      </w:r>
      <w:r w:rsidR="009449C8">
        <w:t>g erlischt das Recht der Gesell</w:t>
      </w:r>
      <w:r>
        <w:t xml:space="preserve">schaft, das </w:t>
      </w:r>
      <w:r w:rsidR="000B7F06">
        <w:t>OGAW-</w:t>
      </w:r>
      <w:r>
        <w:t xml:space="preserve">Sondervermögen zu verwalten. In diesem Falle geht das </w:t>
      </w:r>
      <w:r w:rsidR="000B7F06">
        <w:t>OGAW-</w:t>
      </w:r>
      <w:r>
        <w:t>Sondervermö</w:t>
      </w:r>
      <w:r w:rsidR="009449C8">
        <w:t>gen bzw. das Verfü</w:t>
      </w:r>
      <w:r>
        <w:t xml:space="preserve">gungsrecht über das </w:t>
      </w:r>
      <w:r w:rsidR="000B7F06">
        <w:t>OGAW-</w:t>
      </w:r>
      <w:r>
        <w:t xml:space="preserve">Sondervermögen auf </w:t>
      </w:r>
      <w:r w:rsidR="009449C8">
        <w:t xml:space="preserve">die </w:t>
      </w:r>
      <w:r w:rsidR="005734C8">
        <w:t xml:space="preserve">Verwahrstelle </w:t>
      </w:r>
      <w:r w:rsidR="009449C8">
        <w:t>über, die es abzu</w:t>
      </w:r>
      <w:r>
        <w:t>wickeln und an die Anleger zu verteilen hat</w:t>
      </w:r>
      <w:r w:rsidRPr="00456E9E">
        <w:t>. Für die Zeit der Abwick</w:t>
      </w:r>
      <w:r w:rsidR="009449C8">
        <w:t xml:space="preserve">lung </w:t>
      </w:r>
      <w:r w:rsidR="00F101A6">
        <w:t xml:space="preserve">hat </w:t>
      </w:r>
      <w:r w:rsidR="009449C8">
        <w:t xml:space="preserve">die </w:t>
      </w:r>
      <w:r w:rsidR="005734C8">
        <w:t>Verwahrstelle</w:t>
      </w:r>
      <w:r w:rsidR="005734C8" w:rsidRPr="00456E9E">
        <w:t xml:space="preserve"> </w:t>
      </w:r>
      <w:r w:rsidR="00F101A6">
        <w:t>ein</w:t>
      </w:r>
      <w:r w:rsidR="00B557C5">
        <w:t>en</w:t>
      </w:r>
      <w:r w:rsidR="00F101A6">
        <w:t xml:space="preserve"> Anspruch auf Vergütung ihrer Abwicklungstätigkeit sowie auf Ersatz ihrer Aufwendungen, die für die Abwicklung erforderlich sind.</w:t>
      </w:r>
      <w:r w:rsidRPr="00456E9E">
        <w:t xml:space="preserve"> Mit Genehmigung der Bundesanstalt kann die</w:t>
      </w:r>
      <w:r>
        <w:t xml:space="preserve"> </w:t>
      </w:r>
      <w:r w:rsidR="005734C8">
        <w:t xml:space="preserve">Verwahrstelle </w:t>
      </w:r>
      <w:r>
        <w:t>von der Abwicklung und Verteilung absehen und einer anderen Kapital</w:t>
      </w:r>
      <w:r w:rsidR="005734C8">
        <w:t>verwaltungs</w:t>
      </w:r>
      <w:r>
        <w:t xml:space="preserve">gesellschaft die Verwaltung des </w:t>
      </w:r>
      <w:r w:rsidR="000B7F06">
        <w:t>OGAW-</w:t>
      </w:r>
      <w:r>
        <w:t xml:space="preserve">Sondervermögens nach Maßgabe der bisherigen </w:t>
      </w:r>
      <w:r w:rsidR="005734C8">
        <w:t>Anlage</w:t>
      </w:r>
      <w:r>
        <w:t>bedingungen übertragen.</w:t>
      </w:r>
    </w:p>
    <w:p w14:paraId="043F6AC5" w14:textId="72D11CC6" w:rsidR="00541B2B" w:rsidRDefault="008A7406" w:rsidP="00541B2B">
      <w:pPr>
        <w:widowControl w:val="0"/>
      </w:pPr>
      <w:r>
        <w:t xml:space="preserve">3. Die Gesellschaft hat auf den Tag, an dem ihr Verwaltungsrecht nach Maßgabe des § </w:t>
      </w:r>
      <w:r w:rsidR="005734C8">
        <w:t>99 KAGB</w:t>
      </w:r>
      <w:r>
        <w:t xml:space="preserve"> erlischt, einen Auflösungsbericht zu erstellen, der den Anforderungen an einen Jahresbericht nach</w:t>
      </w:r>
      <w:r w:rsidR="00CE4C58">
        <w:t xml:space="preserve"> § 20</w:t>
      </w:r>
      <w:r w:rsidR="005734C8">
        <w:t xml:space="preserve"> </w:t>
      </w:r>
      <w:r>
        <w:t>Abs</w:t>
      </w:r>
      <w:r w:rsidR="005734C8">
        <w:t>atz</w:t>
      </w:r>
      <w:r>
        <w:t xml:space="preserve"> 1</w:t>
      </w:r>
      <w:r w:rsidR="005734C8">
        <w:t xml:space="preserve"> </w:t>
      </w:r>
      <w:r>
        <w:t>entspricht.</w:t>
      </w:r>
    </w:p>
    <w:p w14:paraId="281141CD" w14:textId="77777777" w:rsidR="009D2E3D" w:rsidRDefault="009D2E3D">
      <w:pPr>
        <w:spacing w:after="0" w:line="240" w:lineRule="auto"/>
        <w:jc w:val="left"/>
      </w:pPr>
      <w:r>
        <w:br w:type="page"/>
      </w:r>
    </w:p>
    <w:p w14:paraId="1C1BE3C0" w14:textId="77777777" w:rsidR="00541B2B" w:rsidRDefault="00541B2B" w:rsidP="00541B2B">
      <w:pPr>
        <w:widowControl w:val="0"/>
      </w:pPr>
    </w:p>
    <w:p w14:paraId="5FE391E5" w14:textId="72D11CC6" w:rsidR="0008602C" w:rsidRDefault="008A7406" w:rsidP="00541B2B">
      <w:pPr>
        <w:pStyle w:val="Paragr-berschr"/>
        <w:widowControl w:val="0"/>
      </w:pPr>
      <w:r>
        <w:t>§ 22</w:t>
      </w:r>
      <w:r w:rsidR="0008602C">
        <w:t xml:space="preserve"> Wechsel der Kapitalverwaltungsgesellschaft und der Verwahrstelle</w:t>
      </w:r>
      <w:r>
        <w:t xml:space="preserve"> </w:t>
      </w:r>
    </w:p>
    <w:p w14:paraId="3860E60B" w14:textId="7B013AFF" w:rsidR="0008602C" w:rsidRPr="0008602C" w:rsidRDefault="0008602C" w:rsidP="00541B2B">
      <w:pPr>
        <w:pStyle w:val="Paragr-berschr"/>
        <w:widowControl w:val="0"/>
        <w:jc w:val="both"/>
        <w:rPr>
          <w:b w:val="0"/>
          <w:sz w:val="22"/>
          <w:szCs w:val="22"/>
        </w:rPr>
      </w:pPr>
      <w:r w:rsidRPr="0008602C">
        <w:rPr>
          <w:b w:val="0"/>
          <w:sz w:val="22"/>
          <w:szCs w:val="22"/>
        </w:rPr>
        <w:t xml:space="preserve">1. Die Gesellschaft kann </w:t>
      </w:r>
      <w:r>
        <w:rPr>
          <w:b w:val="0"/>
          <w:sz w:val="22"/>
          <w:szCs w:val="22"/>
        </w:rPr>
        <w:t xml:space="preserve">das </w:t>
      </w:r>
      <w:r w:rsidR="0044250B">
        <w:rPr>
          <w:b w:val="0"/>
          <w:sz w:val="22"/>
          <w:szCs w:val="22"/>
        </w:rPr>
        <w:t>&lt;</w:t>
      </w:r>
      <w:r w:rsidR="00AF7722">
        <w:rPr>
          <w:rStyle w:val="Funotenzeichen"/>
          <w:b w:val="0"/>
          <w:sz w:val="22"/>
          <w:szCs w:val="22"/>
        </w:rPr>
        <w:footnoteReference w:id="4"/>
      </w:r>
      <w:r>
        <w:rPr>
          <w:b w:val="0"/>
          <w:sz w:val="22"/>
          <w:szCs w:val="22"/>
        </w:rPr>
        <w:t>Verwaltungs- und Verfügungsrecht über das</w:t>
      </w:r>
      <w:r w:rsidR="0044250B">
        <w:rPr>
          <w:b w:val="0"/>
          <w:sz w:val="22"/>
          <w:szCs w:val="22"/>
        </w:rPr>
        <w:t>&gt;</w:t>
      </w:r>
      <w:r>
        <w:rPr>
          <w:b w:val="0"/>
          <w:sz w:val="22"/>
          <w:szCs w:val="22"/>
        </w:rPr>
        <w:t xml:space="preserve"> </w:t>
      </w:r>
      <w:r w:rsidR="00E0794A" w:rsidRPr="001700F2">
        <w:rPr>
          <w:b w:val="0"/>
          <w:sz w:val="22"/>
          <w:szCs w:val="22"/>
        </w:rPr>
        <w:t>OGAW-</w:t>
      </w:r>
      <w:r>
        <w:rPr>
          <w:b w:val="0"/>
          <w:sz w:val="22"/>
          <w:szCs w:val="22"/>
        </w:rPr>
        <w:t>Sondervermögen</w:t>
      </w:r>
      <w:r w:rsidR="0044250B">
        <w:rPr>
          <w:b w:val="0"/>
          <w:sz w:val="22"/>
          <w:szCs w:val="22"/>
        </w:rPr>
        <w:t xml:space="preserve"> </w:t>
      </w:r>
      <w:r>
        <w:rPr>
          <w:b w:val="0"/>
          <w:sz w:val="22"/>
          <w:szCs w:val="22"/>
        </w:rPr>
        <w:t xml:space="preserve">auf eine andere Kapitalverwaltungsgesellschaft </w:t>
      </w:r>
      <w:r w:rsidRPr="0008602C">
        <w:rPr>
          <w:b w:val="0"/>
          <w:sz w:val="22"/>
          <w:szCs w:val="22"/>
        </w:rPr>
        <w:t>übertragen. Die Übertragung bedarf der vorherigen Genehmigung durch die Bundesanstalt.</w:t>
      </w:r>
    </w:p>
    <w:p w14:paraId="78660464" w14:textId="193AE4A7" w:rsidR="00B96888" w:rsidRDefault="0008602C" w:rsidP="00541B2B">
      <w:pPr>
        <w:widowControl w:val="0"/>
      </w:pPr>
      <w:r>
        <w:t xml:space="preserve">2. </w:t>
      </w:r>
      <w:r w:rsidR="00B96888">
        <w:t>Die genehmigte Übertragung wird</w:t>
      </w:r>
      <w:r>
        <w:t xml:space="preserve"> im Bundesanzeiger </w:t>
      </w:r>
      <w:r w:rsidRPr="00AF7722">
        <w:t xml:space="preserve">und darüber hinaus </w:t>
      </w:r>
      <w:r w:rsidR="00B96888" w:rsidRPr="00AF7722">
        <w:t>im Jahresbericht oder Halbjahresbericht</w:t>
      </w:r>
      <w:r>
        <w:t xml:space="preserve"> </w:t>
      </w:r>
      <w:r w:rsidR="002F7CC0" w:rsidRPr="002F7CC0">
        <w:t>sowie in den in dem Verkaufsprospekt bezeichneten elektronischen Informationsmedien</w:t>
      </w:r>
      <w:r w:rsidR="002F7CC0">
        <w:t xml:space="preserve"> </w:t>
      </w:r>
      <w:r>
        <w:t xml:space="preserve">bekannt gemacht. </w:t>
      </w:r>
      <w:r w:rsidR="00B96888">
        <w:t>Die Übertragung wird frühestens drei Monate nach ihrer Bekanntmachung im Bundesanzeiger wirksam.</w:t>
      </w:r>
    </w:p>
    <w:p w14:paraId="7CC36CB5" w14:textId="7B7019C8" w:rsidR="0008602C" w:rsidRPr="0008602C" w:rsidRDefault="00B96888" w:rsidP="00541B2B">
      <w:pPr>
        <w:widowControl w:val="0"/>
        <w:rPr>
          <w:szCs w:val="22"/>
        </w:rPr>
      </w:pPr>
      <w:r>
        <w:t>3</w:t>
      </w:r>
      <w:r w:rsidR="0008602C">
        <w:t>.</w:t>
      </w:r>
      <w:r>
        <w:t xml:space="preserve"> Die Gesellschaft kann </w:t>
      </w:r>
      <w:r w:rsidR="003E36CE">
        <w:t xml:space="preserve">die Verwahrstelle für das </w:t>
      </w:r>
      <w:r w:rsidR="00E0794A" w:rsidRPr="001700F2">
        <w:t>OGAW-</w:t>
      </w:r>
      <w:r w:rsidR="003E36CE">
        <w:t>Sondervermögen wechseln. Der Wechsel bedarf der Genehmigung der Bundesanstalt.</w:t>
      </w:r>
      <w:r w:rsidR="0008602C">
        <w:t xml:space="preserve"> </w:t>
      </w:r>
    </w:p>
    <w:p w14:paraId="702E49AC" w14:textId="77777777" w:rsidR="008A7406" w:rsidRDefault="0008602C" w:rsidP="00541B2B">
      <w:pPr>
        <w:pStyle w:val="Paragr-berschr"/>
        <w:widowControl w:val="0"/>
      </w:pPr>
      <w:r>
        <w:t xml:space="preserve">§ 23 </w:t>
      </w:r>
      <w:r w:rsidR="008A7406">
        <w:t xml:space="preserve">Änderungen der </w:t>
      </w:r>
      <w:r w:rsidR="0083644E">
        <w:t>Anlage</w:t>
      </w:r>
      <w:r w:rsidR="008A7406">
        <w:t>bedingungen</w:t>
      </w:r>
    </w:p>
    <w:p w14:paraId="3ACD374F" w14:textId="77777777" w:rsidR="008A7406" w:rsidRDefault="008A7406" w:rsidP="00541B2B">
      <w:pPr>
        <w:widowControl w:val="0"/>
      </w:pPr>
      <w:r>
        <w:t xml:space="preserve">1. Die Gesellschaft kann die </w:t>
      </w:r>
      <w:r w:rsidR="0083644E">
        <w:t>Anlage</w:t>
      </w:r>
      <w:r>
        <w:t>bedingungen ändern.</w:t>
      </w:r>
    </w:p>
    <w:p w14:paraId="6DCF93DC" w14:textId="076F3688" w:rsidR="008A7406" w:rsidRDefault="008A7406" w:rsidP="00541B2B">
      <w:pPr>
        <w:widowControl w:val="0"/>
      </w:pPr>
      <w:r>
        <w:t xml:space="preserve">2. Änderungen der </w:t>
      </w:r>
      <w:r w:rsidR="000B554B">
        <w:t>Anlage</w:t>
      </w:r>
      <w:r>
        <w:t>bedingungen bedürfen der vorherigen Genehmigung durch die Bundesanstalt</w:t>
      </w:r>
      <w:r w:rsidR="009E165B">
        <w:t>.</w:t>
      </w:r>
      <w:r>
        <w:t xml:space="preserve"> </w:t>
      </w:r>
    </w:p>
    <w:p w14:paraId="4F6847AC" w14:textId="7AAFB096" w:rsidR="0063170B" w:rsidRDefault="008A7406">
      <w:r>
        <w:lastRenderedPageBreak/>
        <w:t>3. Sämtliche vorgesehenen Änderungen werden im</w:t>
      </w:r>
      <w:r w:rsidR="0063170B">
        <w:t xml:space="preserve"> </w:t>
      </w:r>
      <w:r>
        <w:t>Bundesanzeiger und darüber hinaus in einer hinreichend verbreiteten Wirtschafts- oder Tageszeitung oder in den im Verkaufsprospekt bezeichneten elektronischen Informationsmedien bekannt gemacht</w:t>
      </w:r>
      <w:r w:rsidR="006D564F">
        <w:t xml:space="preserve">. </w:t>
      </w:r>
      <w:r w:rsidR="00025F68">
        <w:t>In einer Veröffentlichung nach Satz 1 ist auf</w:t>
      </w:r>
      <w:r w:rsidR="00532EE2">
        <w:t xml:space="preserve"> die vorgesehenen Änderungen und</w:t>
      </w:r>
      <w:r w:rsidR="00025F68">
        <w:t xml:space="preserve"> ihr Inkrafttreten hinzuweisen. </w:t>
      </w:r>
      <w:r w:rsidR="006D564F">
        <w:t xml:space="preserve">Im Falle von </w:t>
      </w:r>
      <w:r w:rsidR="006D179A" w:rsidRPr="006D179A">
        <w:t>anleger</w:t>
      </w:r>
      <w:r w:rsidR="006D179A">
        <w:t>benachteiligenden</w:t>
      </w:r>
      <w:r w:rsidR="006D564F">
        <w:t xml:space="preserve"> Kostenänderungen im Sinne des § </w:t>
      </w:r>
      <w:r w:rsidR="000B554B">
        <w:t>162 Absatz 2 Nummer 11 KAGB</w:t>
      </w:r>
      <w:r w:rsidR="006D179A" w:rsidRPr="006D179A">
        <w:t xml:space="preserve"> </w:t>
      </w:r>
      <w:r w:rsidR="006D179A">
        <w:t>oder anlegerbenachteiligenden Änderungen in Bezug auf wesentliche Anlegerrechte sowie im Falle von</w:t>
      </w:r>
      <w:r w:rsidR="00D311CF">
        <w:t xml:space="preserve"> </w:t>
      </w:r>
      <w:r w:rsidR="006D564F">
        <w:t xml:space="preserve">Änderungen der Anlagegrundsätze des </w:t>
      </w:r>
      <w:r w:rsidR="000B7F06">
        <w:t>OGAW-</w:t>
      </w:r>
      <w:r w:rsidR="006D564F">
        <w:t xml:space="preserve">Sondervermögens im Sinne des § </w:t>
      </w:r>
      <w:r w:rsidR="000B554B">
        <w:t>163 Absatz 3 KAGB</w:t>
      </w:r>
      <w:r w:rsidR="006D564F">
        <w:t xml:space="preserve"> sind den Anlegern zeitgleich mit der Bekanntmachung nach </w:t>
      </w:r>
      <w:r w:rsidR="006D564F" w:rsidRPr="00097C54">
        <w:t xml:space="preserve">Satz 1 die wesentlichen Inhalte der vorgesehenen Änderungen der </w:t>
      </w:r>
      <w:r w:rsidR="000B554B">
        <w:t>Anlage</w:t>
      </w:r>
      <w:r w:rsidR="006D564F" w:rsidRPr="00097C54">
        <w:t>bedingungen und ihre Hintergründe in einer verständlichen Art und Weise mittels eines dauerhaften Datenträgers</w:t>
      </w:r>
      <w:r w:rsidR="000F280B">
        <w:t xml:space="preserve"> </w:t>
      </w:r>
      <w:r w:rsidR="006D564F" w:rsidRPr="00097C54">
        <w:t xml:space="preserve">zu </w:t>
      </w:r>
      <w:r w:rsidR="006D564F">
        <w:t>übermitteln.</w:t>
      </w:r>
      <w:r w:rsidR="005C5EA1">
        <w:t xml:space="preserve"> I</w:t>
      </w:r>
      <w:r w:rsidR="005C5EA1" w:rsidRPr="005C5EA1">
        <w:t>m Falle von Änderungen</w:t>
      </w:r>
      <w:r w:rsidR="005C5EA1">
        <w:t xml:space="preserve"> </w:t>
      </w:r>
      <w:r w:rsidR="005C5EA1" w:rsidRPr="005C5EA1">
        <w:t xml:space="preserve">der bisherigen Anlagegrundsätze </w:t>
      </w:r>
      <w:r w:rsidR="005C5EA1">
        <w:t>sind</w:t>
      </w:r>
      <w:r w:rsidR="005C5EA1" w:rsidRPr="005C5EA1">
        <w:t xml:space="preserve"> die Anleger zusätzlich </w:t>
      </w:r>
      <w:r w:rsidR="005C5EA1" w:rsidRPr="00097C54">
        <w:t xml:space="preserve">über ihre Rechte nach </w:t>
      </w:r>
      <w:r w:rsidR="005C5EA1">
        <w:t xml:space="preserve">§ 163 Absatz 3 KAGB zu </w:t>
      </w:r>
      <w:r w:rsidR="005C5EA1" w:rsidRPr="005C5EA1">
        <w:t>informier</w:t>
      </w:r>
      <w:r w:rsidR="005C5EA1">
        <w:t>en</w:t>
      </w:r>
      <w:r w:rsidR="005C5EA1" w:rsidRPr="005C5EA1">
        <w:t>.</w:t>
      </w:r>
    </w:p>
    <w:p w14:paraId="6E9268EC" w14:textId="41165291" w:rsidR="0063170B" w:rsidRDefault="005556C3" w:rsidP="005556C3">
      <w:r>
        <w:t>4. Die Änderungen treten frühestens am Tag nach ihrer Bekanntmachung im</w:t>
      </w:r>
      <w:r w:rsidR="0063170B">
        <w:t xml:space="preserve"> </w:t>
      </w:r>
      <w:r>
        <w:t xml:space="preserve">Bundesanzeiger in Kraft, im Falle von Änderungen der Kosten und der Anlagegrundsätze jedoch nicht vor Ablauf von </w:t>
      </w:r>
      <w:r w:rsidR="005C5EA1">
        <w:t>vier Wochen</w:t>
      </w:r>
      <w:r>
        <w:t xml:space="preserve"> nach der entsprechenden Bekanntmachung.</w:t>
      </w:r>
    </w:p>
    <w:p w14:paraId="01D024F7" w14:textId="17175958" w:rsidR="008A7406" w:rsidRDefault="008A7406" w:rsidP="00BB0048">
      <w:pPr>
        <w:pStyle w:val="Paragr-berschr"/>
      </w:pPr>
      <w:r>
        <w:t>§ 2</w:t>
      </w:r>
      <w:r w:rsidR="0008602C">
        <w:t>4</w:t>
      </w:r>
      <w:r>
        <w:t xml:space="preserve"> Erfüllungsort</w:t>
      </w:r>
    </w:p>
    <w:p w14:paraId="2926DBB1" w14:textId="11B9CE26" w:rsidR="008A7406" w:rsidRDefault="008A7406">
      <w:r>
        <w:t>Erfüllungsort ist der Sitz der Gesellschaft.</w:t>
      </w:r>
    </w:p>
    <w:p w14:paraId="31095C30" w14:textId="2113B8C6" w:rsidR="003C158F" w:rsidRPr="003C158F" w:rsidRDefault="003C158F" w:rsidP="00E42CA2">
      <w:pPr>
        <w:pStyle w:val="Bearb-Hinweis"/>
        <w:pBdr>
          <w:top w:val="single" w:sz="4" w:space="1" w:color="auto"/>
          <w:left w:val="single" w:sz="4" w:space="4" w:color="auto"/>
          <w:bottom w:val="single" w:sz="4" w:space="1" w:color="auto"/>
          <w:right w:val="single" w:sz="4" w:space="4" w:color="auto"/>
        </w:pBdr>
        <w:shd w:val="clear" w:color="auto" w:fill="D9D9D9" w:themeFill="background1" w:themeFillShade="D9"/>
        <w:rPr>
          <w:b/>
          <w:bCs/>
          <w:sz w:val="24"/>
          <w:szCs w:val="24"/>
          <w:u w:val="single"/>
        </w:rPr>
      </w:pPr>
      <w:bookmarkStart w:id="6" w:name="_Hlk87004480"/>
      <w:r w:rsidRPr="003C158F">
        <w:rPr>
          <w:b/>
          <w:bCs/>
          <w:sz w:val="24"/>
          <w:szCs w:val="24"/>
          <w:u w:val="single"/>
        </w:rPr>
        <w:t>§ 25 Streitbeilegungsverfahren</w:t>
      </w:r>
    </w:p>
    <w:p w14:paraId="15EC7913" w14:textId="510E22B9" w:rsidR="003C158F" w:rsidRDefault="003C158F" w:rsidP="00E42CA2">
      <w:pPr>
        <w:pStyle w:val="Bearb-Hinweis"/>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7371"/>
        </w:tabs>
      </w:pPr>
      <w:proofErr w:type="spellStart"/>
      <w:r>
        <w:rPr>
          <w:u w:val="single"/>
        </w:rPr>
        <w:t>Bearbeiterhinweis</w:t>
      </w:r>
      <w:proofErr w:type="spellEnd"/>
      <w:r>
        <w:t>:</w:t>
      </w:r>
      <w:r w:rsidR="00E42CA2">
        <w:tab/>
      </w:r>
    </w:p>
    <w:p w14:paraId="2BED983C" w14:textId="5C0F8DA0" w:rsidR="003C158F" w:rsidRDefault="003C158F" w:rsidP="00E42CA2">
      <w:pPr>
        <w:pStyle w:val="Bearb-Hinweis"/>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Gesellschaften sind nach Maßgabe des § 36 Verbraucherstreitbeilegungsgesetz (VSBG) verpflichtet, Verbraucher </w:t>
      </w:r>
      <w:r w:rsidR="00DF02E6" w:rsidRPr="00DF02E6">
        <w:t xml:space="preserve">auf ihrer Website und </w:t>
      </w:r>
      <w:r>
        <w:t xml:space="preserve">in ihren Allgemeinen Geschäftsbedingungen </w:t>
      </w:r>
      <w:r w:rsidR="00B65459">
        <w:t xml:space="preserve">leicht zugänglich, </w:t>
      </w:r>
      <w:r w:rsidR="00B65459" w:rsidRPr="00B65459">
        <w:t xml:space="preserve">klar und verständlich </w:t>
      </w:r>
      <w:r>
        <w:t xml:space="preserve">über die Möglichkeiten alternativer </w:t>
      </w:r>
      <w:r>
        <w:lastRenderedPageBreak/>
        <w:t xml:space="preserve">Streitbeilegung zu informieren. Zudem müssen sie auf die Online-Streitbeilegungsplattform der EU-Kommission hinweisen. </w:t>
      </w:r>
    </w:p>
    <w:p w14:paraId="54F5F077" w14:textId="77777777" w:rsidR="003C158F" w:rsidRDefault="003C158F" w:rsidP="00E42CA2">
      <w:pPr>
        <w:pStyle w:val="Bearb-Hinweis"/>
        <w:pBdr>
          <w:top w:val="single" w:sz="4" w:space="1" w:color="auto"/>
          <w:left w:val="single" w:sz="4" w:space="4" w:color="auto"/>
          <w:bottom w:val="single" w:sz="4" w:space="1" w:color="auto"/>
          <w:right w:val="single" w:sz="4" w:space="4" w:color="auto"/>
        </w:pBdr>
        <w:shd w:val="clear" w:color="auto" w:fill="D9D9D9" w:themeFill="background1" w:themeFillShade="D9"/>
      </w:pPr>
      <w:r>
        <w:t>Wenn eine Gesellschaft sich verpflichtet hat, am Streitbeilegungsverfahren einer anerkannten privaten Verbraucherschlichtungsstelle, wie der Ombudsstelle für Investmentfonds des BVI, teilzunehmen, kann wie folgt formuliert werden:</w:t>
      </w:r>
    </w:p>
    <w:p w14:paraId="7A16E7AF" w14:textId="77777777" w:rsidR="003C158F" w:rsidRPr="00653C93" w:rsidRDefault="003C158F" w:rsidP="00E42CA2">
      <w:pPr>
        <w:pStyle w:val="Bearb-Hinweis"/>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53C93">
        <w:rPr>
          <w:b/>
          <w:bCs/>
        </w:rPr>
        <w:t>„Die Gesellschaft hat</w:t>
      </w:r>
      <w:r>
        <w:rPr>
          <w:b/>
          <w:bCs/>
        </w:rPr>
        <w:t xml:space="preserve"> </w:t>
      </w:r>
      <w:r w:rsidRPr="00653C93">
        <w:rPr>
          <w:b/>
          <w:bCs/>
        </w:rPr>
        <w:t>sich zur Teilnahme an Streitbeilegungsverfahren vor einer Verbraucherschlichtungsstelle verpflichtet.</w:t>
      </w:r>
      <w:r w:rsidRPr="00653C93">
        <w:rPr>
          <w:rStyle w:val="Funotenzeichen"/>
          <w:b/>
          <w:bCs/>
        </w:rPr>
        <w:footnoteReference w:id="5"/>
      </w:r>
      <w:r w:rsidRPr="00653C93">
        <w:rPr>
          <w:b/>
          <w:bCs/>
        </w:rPr>
        <w:t xml:space="preserve"> Bei Streitigkeiten können Verbraucher die [Ombudsstelle für Investmentfonds des BVI Bundesverband Investment und Asset Management e.V.] als zuständige Verbraucherschlichtungsstelle anrufen. Die Gesellschaft nimmt an Streitbeilegungsverfahren vor dieser Schlichtungsstelle teil.</w:t>
      </w:r>
      <w:r w:rsidRPr="00653C93">
        <w:rPr>
          <w:rStyle w:val="Funotenzeichen"/>
          <w:b/>
          <w:bCs/>
        </w:rPr>
        <w:footnoteReference w:id="6"/>
      </w:r>
    </w:p>
    <w:p w14:paraId="5BC31856" w14:textId="77777777" w:rsidR="003C158F" w:rsidRPr="00653C93" w:rsidRDefault="003C158F" w:rsidP="00E42CA2">
      <w:pPr>
        <w:pStyle w:val="Bearb-Hinweis"/>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53C93">
        <w:rPr>
          <w:b/>
          <w:bCs/>
        </w:rPr>
        <w:t>Die Kontaktdaten lauten: [Büro der Ombudsstelle des BVI Bundesverband Investment und Asset Management e.V., Unter den Linden 42, 10117 Berlin, www.ombudsstelle-investmentfonds.de].</w:t>
      </w:r>
    </w:p>
    <w:p w14:paraId="66898D81" w14:textId="77777777" w:rsidR="003C158F" w:rsidRDefault="003C158F" w:rsidP="00CA5078">
      <w:pPr>
        <w:pStyle w:val="Bearb-Hinweis"/>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53C93">
        <w:rPr>
          <w:b/>
          <w:bCs/>
        </w:rPr>
        <w:t xml:space="preserve">Die Europäische Kommission hat unter </w:t>
      </w:r>
      <w:hyperlink r:id="rId13" w:history="1">
        <w:r w:rsidRPr="00653C93">
          <w:rPr>
            <w:rStyle w:val="Hyperlink"/>
            <w:b/>
            <w:bCs/>
          </w:rPr>
          <w:t>www.ec.europa.eu/consumers/odr</w:t>
        </w:r>
      </w:hyperlink>
      <w:r w:rsidRPr="00653C93">
        <w:rPr>
          <w:rStyle w:val="Funotenzeichen"/>
          <w:b/>
          <w:bCs/>
        </w:rPr>
        <w:footnoteReference w:id="7"/>
      </w:r>
      <w:r>
        <w:rPr>
          <w:b/>
          <w:bCs/>
        </w:rPr>
        <w:t xml:space="preserve"> </w:t>
      </w:r>
      <w:r w:rsidRPr="00653C93">
        <w:rPr>
          <w:b/>
          <w:bCs/>
        </w:rPr>
        <w:t>eine europäische Online-Streitbeilegungsplattform eingerichtet. Verbraucher können diese für die außergerichtliche Beilegung von Streitigkeiten aus Online-Kaufverträgen oder Online-Dienstleistungsverträgen nutzen. Die E-Mail-Adresse der Gesellschaft lautet: […].“</w:t>
      </w:r>
    </w:p>
    <w:p w14:paraId="46068E24" w14:textId="1CD3B372" w:rsidR="003C158F" w:rsidRDefault="003C158F" w:rsidP="00CA5078">
      <w:pPr>
        <w:pStyle w:val="Bearb-Hinweis"/>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 xml:space="preserve">Wenn eine Gesellschaft sich </w:t>
      </w:r>
      <w:r w:rsidRPr="00CA5078">
        <w:rPr>
          <w:u w:val="single"/>
        </w:rPr>
        <w:t>nicht</w:t>
      </w:r>
      <w:r w:rsidRPr="00CA5078">
        <w:t xml:space="preserve"> </w:t>
      </w:r>
      <w:r>
        <w:t xml:space="preserve">verpflichtet hat, am Streitbeilegungsverfahren einer anerkannten privaten Verbraucherschlichtungsstelle teilzunehmen, </w:t>
      </w:r>
      <w:r w:rsidR="00B65459">
        <w:t xml:space="preserve">hat sie darüber zu informieren, inwieweit sie bereit ist, an Streitbeilegungsverfahren vor einer Verbraucherschlichtungsstelle teilzunehmen und </w:t>
      </w:r>
      <w:r>
        <w:t xml:space="preserve">sollte </w:t>
      </w:r>
      <w:r w:rsidR="00B65459">
        <w:t xml:space="preserve">im Fall der Bereitschaft </w:t>
      </w:r>
      <w:r>
        <w:t xml:space="preserve">wie nachfolgend auf die Schlichtungsstelle </w:t>
      </w:r>
      <w:r w:rsidR="00B65459">
        <w:t>bei der BaFin hinweisen</w:t>
      </w:r>
      <w:r>
        <w:t xml:space="preserve">. Die </w:t>
      </w:r>
      <w:r w:rsidR="00B65459">
        <w:t xml:space="preserve">Schlichtungsstelle bei der </w:t>
      </w:r>
      <w:r>
        <w:t xml:space="preserve">BaFin ist gesetzliche Auffangschlichtungsstelle im Finanz- bzw. Kapitalanlagebereich. </w:t>
      </w:r>
    </w:p>
    <w:p w14:paraId="0487D3B9" w14:textId="5D669A87" w:rsidR="003C158F" w:rsidRPr="00653C93" w:rsidRDefault="003C158F" w:rsidP="00CA5078">
      <w:pPr>
        <w:pStyle w:val="Bearb-Hinweis"/>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53C93">
        <w:rPr>
          <w:b/>
          <w:bCs/>
        </w:rPr>
        <w:t>„Be</w:t>
      </w:r>
      <w:r>
        <w:rPr>
          <w:b/>
          <w:bCs/>
        </w:rPr>
        <w:t>i Streitigkeiten</w:t>
      </w:r>
      <w:r w:rsidR="00B65459">
        <w:rPr>
          <w:b/>
          <w:bCs/>
        </w:rPr>
        <w:t xml:space="preserve">, an denen </w:t>
      </w:r>
      <w:r>
        <w:rPr>
          <w:b/>
          <w:bCs/>
        </w:rPr>
        <w:t xml:space="preserve">Verbraucher </w:t>
      </w:r>
      <w:r w:rsidR="00B65459">
        <w:rPr>
          <w:b/>
          <w:bCs/>
        </w:rPr>
        <w:t xml:space="preserve">beteiligt sind, können sich die Beteiligten </w:t>
      </w:r>
      <w:r>
        <w:rPr>
          <w:b/>
          <w:bCs/>
        </w:rPr>
        <w:t>an die b</w:t>
      </w:r>
      <w:r w:rsidRPr="00657736">
        <w:rPr>
          <w:b/>
          <w:bCs/>
        </w:rPr>
        <w:t>ehördliche Verbraucherschlichtungsstelle</w:t>
      </w:r>
      <w:r>
        <w:rPr>
          <w:b/>
          <w:bCs/>
        </w:rPr>
        <w:t xml:space="preserve"> bei der </w:t>
      </w:r>
      <w:r w:rsidRPr="00657736">
        <w:rPr>
          <w:b/>
          <w:bCs/>
        </w:rPr>
        <w:t>Bundesanstalt für Finanzdienstleistungsaufsicht</w:t>
      </w:r>
      <w:r>
        <w:rPr>
          <w:b/>
          <w:bCs/>
        </w:rPr>
        <w:t xml:space="preserve"> </w:t>
      </w:r>
      <w:r w:rsidRPr="003C158F">
        <w:rPr>
          <w:b/>
          <w:bCs/>
        </w:rPr>
        <w:t xml:space="preserve">(Schlichtungsstelle bei der BaFin, Graurheindorfer Straße 108, 53117 Bonn, </w:t>
      </w:r>
      <w:hyperlink r:id="rId14" w:history="1">
        <w:r w:rsidRPr="003C158F">
          <w:rPr>
            <w:b/>
            <w:bCs/>
          </w:rPr>
          <w:t>www.bafin.de/schlichtungsstelle</w:t>
        </w:r>
      </w:hyperlink>
      <w:r w:rsidRPr="003C158F">
        <w:rPr>
          <w:b/>
          <w:bCs/>
        </w:rPr>
        <w:t xml:space="preserve">) </w:t>
      </w:r>
      <w:r>
        <w:rPr>
          <w:b/>
          <w:bCs/>
        </w:rPr>
        <w:t>wenden.</w:t>
      </w:r>
      <w:r w:rsidR="00B65459" w:rsidRPr="00B65459">
        <w:rPr>
          <w:b/>
          <w:bCs/>
        </w:rPr>
        <w:t xml:space="preserve"> </w:t>
      </w:r>
      <w:r w:rsidR="00B65459">
        <w:rPr>
          <w:b/>
          <w:bCs/>
        </w:rPr>
        <w:t xml:space="preserve">Die Europäische Kommission hat unter </w:t>
      </w:r>
      <w:hyperlink r:id="rId15" w:history="1">
        <w:r w:rsidR="00B65459">
          <w:rPr>
            <w:rStyle w:val="Hyperlink"/>
            <w:b/>
            <w:bCs/>
            <w:color w:val="0563C1"/>
          </w:rPr>
          <w:t>www.ec.europa.eu/consumers/odr</w:t>
        </w:r>
      </w:hyperlink>
      <w:r w:rsidR="00B65459">
        <w:rPr>
          <w:b/>
          <w:bCs/>
        </w:rPr>
        <w:t>  eine europäische Online-Streitbeilegungsplattform eingerichtet. Verbraucher können diese für die außergerichtliche Beilegung von Streitigkeiten aus Online-Kaufverträgen oder Online-Dienstleistungsverträgen nutzen. Die E-Mail-Adresse der Gesellschaft lautet: […].“</w:t>
      </w:r>
    </w:p>
    <w:bookmarkEnd w:id="6"/>
    <w:p w14:paraId="335E5170" w14:textId="4B0B4E91" w:rsidR="00A400E0" w:rsidRDefault="00A400E0"/>
    <w:sectPr w:rsidR="00A400E0" w:rsidSect="00143F6D">
      <w:headerReference w:type="default" r:id="rId16"/>
      <w:footerReference w:type="default" r:id="rId17"/>
      <w:pgSz w:w="11906" w:h="16838"/>
      <w:pgMar w:top="2269" w:right="2550" w:bottom="226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5363835F" w14:textId="77777777" w:rsidR="00CD4DD1" w:rsidRDefault="00220395">
      <w:pPr>
        <w:pStyle w:val="Kommentartext"/>
        <w:jc w:val="left"/>
      </w:pPr>
      <w:r>
        <w:rPr>
          <w:rStyle w:val="Kommentarzeichen"/>
        </w:rPr>
        <w:annotationRef/>
      </w:r>
      <w:r w:rsidR="00CD4DD1">
        <w:t>Vor dem 8. Juli 2022 ausgegebene Pfandbriefe und Kommunalschuldverschreibungen bleiben weiterhin erwerbbar.</w:t>
      </w:r>
    </w:p>
    <w:p w14:paraId="2BB3A662" w14:textId="77777777" w:rsidR="00CD4DD1" w:rsidRDefault="00CD4DD1">
      <w:pPr>
        <w:pStyle w:val="Kommentartext"/>
        <w:jc w:val="left"/>
      </w:pPr>
      <w:r>
        <w:t>Siehe § 355 Abs. 6 KAGB:</w:t>
      </w:r>
    </w:p>
    <w:p w14:paraId="262489FF" w14:textId="77777777" w:rsidR="00CD4DD1" w:rsidRDefault="00CD4DD1" w:rsidP="00747D23">
      <w:pPr>
        <w:pStyle w:val="Kommentartext"/>
        <w:jc w:val="left"/>
      </w:pPr>
      <w:r>
        <w:t>"</w:t>
      </w:r>
      <w:hyperlink r:id="rId1" w:history="1">
        <w:r w:rsidRPr="00747D23">
          <w:rPr>
            <w:rStyle w:val="Hyperlink"/>
          </w:rPr>
          <w:t>§ 206 Absatz 3 Satz 1</w:t>
        </w:r>
      </w:hyperlink>
      <w:r>
        <w:t xml:space="preserve"> in der ab dem 8. Juli 2022 geltenden Fassung findet auf nach dem 7. Juli 2022 begebene Schuldverschreibungen Anwendung. </w:t>
      </w:r>
      <w:r>
        <w:rPr>
          <w:color w:val="000000"/>
        </w:rPr>
        <w:t xml:space="preserve">Auf vor dem 8. Juli 2022 begebene Schuldverschreibungen findet </w:t>
      </w:r>
      <w:hyperlink r:id="rId2" w:history="1">
        <w:r w:rsidRPr="00747D23">
          <w:rPr>
            <w:rStyle w:val="Hyperlink"/>
          </w:rPr>
          <w:t>§ 206 Absatz 3 Satz 1</w:t>
        </w:r>
      </w:hyperlink>
      <w:r>
        <w:rPr>
          <w:color w:val="000000"/>
        </w:rPr>
        <w:t xml:space="preserve"> in der bis zum 7. Juli 2022 geltenden Fassung Anwendung."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2489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489FF" w16cid:durableId="2982E8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2A68" w14:textId="77777777" w:rsidR="00BB613A" w:rsidRDefault="00BB613A">
      <w:r>
        <w:separator/>
      </w:r>
    </w:p>
  </w:endnote>
  <w:endnote w:type="continuationSeparator" w:id="0">
    <w:p w14:paraId="46A2E808" w14:textId="77777777" w:rsidR="00BB613A" w:rsidRDefault="00BB613A">
      <w:r>
        <w:continuationSeparator/>
      </w:r>
    </w:p>
  </w:endnote>
  <w:endnote w:type="continuationNotice" w:id="1">
    <w:p w14:paraId="57D1A54E" w14:textId="77777777" w:rsidR="00BB613A" w:rsidRDefault="00BB6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5EF0" w14:textId="77777777" w:rsidR="004A6A5A" w:rsidRDefault="004A6A5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AD4D" w14:textId="77777777" w:rsidR="004A6A5A" w:rsidRDefault="00FC54DC">
    <w:pPr>
      <w:pStyle w:val="Fuzeile"/>
      <w:jc w:val="center"/>
    </w:pPr>
    <w:r>
      <w:rPr>
        <w:rStyle w:val="Seitenzahl"/>
      </w:rPr>
      <w:fldChar w:fldCharType="begin"/>
    </w:r>
    <w:r w:rsidR="004A6A5A">
      <w:rPr>
        <w:rStyle w:val="Seitenzahl"/>
      </w:rPr>
      <w:instrText xml:space="preserve"> PAGE </w:instrText>
    </w:r>
    <w:r>
      <w:rPr>
        <w:rStyle w:val="Seitenzahl"/>
      </w:rPr>
      <w:fldChar w:fldCharType="separate"/>
    </w:r>
    <w:r w:rsidR="00D979E9">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0A49" w14:textId="77777777" w:rsidR="00BB613A" w:rsidRDefault="00BB613A">
      <w:r>
        <w:separator/>
      </w:r>
    </w:p>
  </w:footnote>
  <w:footnote w:type="continuationSeparator" w:id="0">
    <w:p w14:paraId="5D06707F" w14:textId="77777777" w:rsidR="00BB613A" w:rsidRDefault="00BB613A">
      <w:r>
        <w:continuationSeparator/>
      </w:r>
    </w:p>
  </w:footnote>
  <w:footnote w:type="continuationNotice" w:id="1">
    <w:p w14:paraId="0ED933BE" w14:textId="77777777" w:rsidR="00BB613A" w:rsidRDefault="00BB613A">
      <w:pPr>
        <w:spacing w:after="0" w:line="240" w:lineRule="auto"/>
      </w:pPr>
    </w:p>
  </w:footnote>
  <w:footnote w:id="2">
    <w:p w14:paraId="5F9AD1C2" w14:textId="30616B48" w:rsidR="004A6A5A" w:rsidRDefault="004A6A5A">
      <w:pPr>
        <w:pStyle w:val="Funotentext"/>
      </w:pPr>
      <w:r>
        <w:rPr>
          <w:rStyle w:val="Funotenzeichen"/>
        </w:rPr>
        <w:footnoteRef/>
      </w:r>
      <w:r>
        <w:t xml:space="preserve"> Die </w:t>
      </w:r>
      <w:r w:rsidR="00C76F8A">
        <w:rPr>
          <w:rFonts w:cs="Arial"/>
        </w:rPr>
        <w:t>„</w:t>
      </w:r>
      <w:r w:rsidR="00C76F8A" w:rsidRPr="00615F2F">
        <w:rPr>
          <w:rFonts w:cs="Arial"/>
          <w:iCs/>
        </w:rPr>
        <w:t>Liste der zugelassenen Börsen und der anderen organisierten Märkte gemäß § 193 Abs. 1 Nr. 2 und 4 KAGB</w:t>
      </w:r>
      <w:r w:rsidR="00C76F8A">
        <w:rPr>
          <w:rFonts w:cs="Arial"/>
          <w:iCs/>
        </w:rPr>
        <w:t>“</w:t>
      </w:r>
      <w:r w:rsidR="00C76F8A" w:rsidRPr="00615F2F">
        <w:rPr>
          <w:rFonts w:cs="Arial"/>
        </w:rPr>
        <w:t> </w:t>
      </w:r>
      <w:r>
        <w:t xml:space="preserve">wird auf der </w:t>
      </w:r>
      <w:r w:rsidR="00C76F8A">
        <w:t xml:space="preserve">Internetseite </w:t>
      </w:r>
      <w:r>
        <w:t>der Bundesanstalt veröffentlicht (http://www.bafin.de).</w:t>
      </w:r>
    </w:p>
  </w:footnote>
  <w:footnote w:id="3">
    <w:p w14:paraId="516DD75E" w14:textId="77777777" w:rsidR="004A6A5A" w:rsidRDefault="004A6A5A">
      <w:pPr>
        <w:pStyle w:val="Funotentext"/>
      </w:pPr>
      <w:r>
        <w:rPr>
          <w:rStyle w:val="Funotenzeichen"/>
        </w:rPr>
        <w:footnoteRef/>
      </w:r>
      <w:r>
        <w:t xml:space="preserve"> siehe Fußnote 1</w:t>
      </w:r>
    </w:p>
  </w:footnote>
  <w:footnote w:id="4">
    <w:p w14:paraId="63CD3950" w14:textId="77777777" w:rsidR="00AF7722" w:rsidRPr="00663775" w:rsidRDefault="00AF7722">
      <w:pPr>
        <w:pStyle w:val="Funotentext"/>
        <w:rPr>
          <w:sz w:val="18"/>
          <w:szCs w:val="18"/>
        </w:rPr>
      </w:pPr>
      <w:r>
        <w:rPr>
          <w:rStyle w:val="Funotenzeichen"/>
        </w:rPr>
        <w:footnoteRef/>
      </w:r>
      <w:r>
        <w:t xml:space="preserve"> </w:t>
      </w:r>
      <w:r w:rsidRPr="00663775">
        <w:rPr>
          <w:sz w:val="18"/>
          <w:szCs w:val="18"/>
        </w:rPr>
        <w:t xml:space="preserve">Dieser Einschub </w:t>
      </w:r>
      <w:r w:rsidR="00663775" w:rsidRPr="00663775">
        <w:rPr>
          <w:sz w:val="18"/>
          <w:szCs w:val="18"/>
        </w:rPr>
        <w:t xml:space="preserve">ist nur zu verwenden, </w:t>
      </w:r>
      <w:r w:rsidRPr="00663775">
        <w:rPr>
          <w:sz w:val="18"/>
          <w:szCs w:val="18"/>
        </w:rPr>
        <w:t>wenn das Sondervermögen im Mitei</w:t>
      </w:r>
      <w:r w:rsidR="00663775" w:rsidRPr="00663775">
        <w:rPr>
          <w:sz w:val="18"/>
          <w:szCs w:val="18"/>
        </w:rPr>
        <w:t>ge</w:t>
      </w:r>
      <w:r w:rsidRPr="00663775">
        <w:rPr>
          <w:sz w:val="18"/>
          <w:szCs w:val="18"/>
        </w:rPr>
        <w:t xml:space="preserve">ntum der </w:t>
      </w:r>
      <w:r w:rsidR="00663775" w:rsidRPr="00663775">
        <w:rPr>
          <w:sz w:val="18"/>
          <w:szCs w:val="18"/>
        </w:rPr>
        <w:t>A</w:t>
      </w:r>
      <w:r w:rsidRPr="00663775">
        <w:rPr>
          <w:sz w:val="18"/>
          <w:szCs w:val="18"/>
        </w:rPr>
        <w:t xml:space="preserve">nleger steht. </w:t>
      </w:r>
    </w:p>
  </w:footnote>
  <w:footnote w:id="5">
    <w:p w14:paraId="69D20F1C" w14:textId="77777777" w:rsidR="003C158F" w:rsidRPr="0052782C" w:rsidRDefault="003C158F" w:rsidP="003C158F">
      <w:pPr>
        <w:pStyle w:val="Default"/>
        <w:rPr>
          <w:rFonts w:ascii="Arial" w:hAnsi="Arial" w:cs="Arial"/>
          <w:sz w:val="20"/>
          <w:szCs w:val="20"/>
        </w:rPr>
      </w:pPr>
      <w:r w:rsidRPr="0052782C">
        <w:rPr>
          <w:rStyle w:val="Funotenzeichen"/>
          <w:rFonts w:ascii="Arial" w:hAnsi="Arial" w:cs="Arial"/>
          <w:sz w:val="20"/>
          <w:szCs w:val="20"/>
        </w:rPr>
        <w:footnoteRef/>
      </w:r>
      <w:r w:rsidRPr="0052782C">
        <w:rPr>
          <w:rFonts w:ascii="Arial" w:hAnsi="Arial" w:cs="Arial"/>
          <w:sz w:val="20"/>
          <w:szCs w:val="20"/>
        </w:rPr>
        <w:t xml:space="preserve"> §36 Absatz 1 Nr. 1 VSBG</w:t>
      </w:r>
    </w:p>
  </w:footnote>
  <w:footnote w:id="6">
    <w:p w14:paraId="3A9A9A23" w14:textId="77777777" w:rsidR="003C158F" w:rsidRPr="0052782C" w:rsidRDefault="003C158F" w:rsidP="003C158F">
      <w:pPr>
        <w:pStyle w:val="Default"/>
        <w:rPr>
          <w:rFonts w:ascii="Arial" w:hAnsi="Arial" w:cs="Arial"/>
          <w:sz w:val="20"/>
          <w:szCs w:val="20"/>
        </w:rPr>
      </w:pPr>
      <w:r w:rsidRPr="0052782C">
        <w:rPr>
          <w:rStyle w:val="Funotenzeichen"/>
          <w:rFonts w:ascii="Arial" w:hAnsi="Arial" w:cs="Arial"/>
          <w:sz w:val="20"/>
          <w:szCs w:val="20"/>
        </w:rPr>
        <w:footnoteRef/>
      </w:r>
      <w:r w:rsidRPr="0052782C">
        <w:rPr>
          <w:rFonts w:ascii="Arial" w:hAnsi="Arial" w:cs="Arial"/>
          <w:sz w:val="20"/>
          <w:szCs w:val="20"/>
        </w:rPr>
        <w:t xml:space="preserve"> §36 Absatz 1 Nr. 2 VSBG</w:t>
      </w:r>
    </w:p>
  </w:footnote>
  <w:footnote w:id="7">
    <w:p w14:paraId="5817F8F2" w14:textId="77777777" w:rsidR="003C158F" w:rsidRDefault="003C158F" w:rsidP="003C158F">
      <w:pPr>
        <w:pStyle w:val="Default"/>
      </w:pPr>
      <w:r w:rsidRPr="0052782C">
        <w:rPr>
          <w:rStyle w:val="Funotenzeichen"/>
          <w:rFonts w:ascii="Arial" w:hAnsi="Arial" w:cs="Arial"/>
          <w:sz w:val="20"/>
          <w:szCs w:val="20"/>
        </w:rPr>
        <w:footnoteRef/>
      </w:r>
      <w:r w:rsidRPr="0052782C">
        <w:rPr>
          <w:rStyle w:val="Funotenzeichen"/>
          <w:rFonts w:ascii="Arial" w:hAnsi="Arial" w:cs="Arial"/>
          <w:sz w:val="20"/>
          <w:szCs w:val="20"/>
        </w:rPr>
        <w:t xml:space="preserve">  </w:t>
      </w:r>
      <w:r w:rsidRPr="0052782C">
        <w:rPr>
          <w:rFonts w:ascii="Arial" w:hAnsi="Arial" w:cs="Arial"/>
          <w:sz w:val="20"/>
          <w:szCs w:val="20"/>
        </w:rPr>
        <w:t>Artikel 14 Verordnung (EU) 524/2013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AFAB" w14:textId="1AE7CE92" w:rsidR="004A6A5A" w:rsidRPr="008B508B" w:rsidRDefault="004A6A5A">
    <w:pPr>
      <w:pStyle w:val="Kopfzeile"/>
      <w:tabs>
        <w:tab w:val="clear" w:pos="4536"/>
      </w:tabs>
      <w:spacing w:after="0" w:line="240" w:lineRule="auto"/>
      <w:jc w:val="center"/>
      <w:rPr>
        <w:b/>
        <w:sz w:val="20"/>
      </w:rPr>
    </w:pPr>
  </w:p>
  <w:p w14:paraId="44F275E1" w14:textId="77777777" w:rsidR="00630F4B" w:rsidRPr="00A4221C" w:rsidRDefault="00630F4B" w:rsidP="00630F4B">
    <w:pPr>
      <w:pStyle w:val="Kopfzeile"/>
      <w:tabs>
        <w:tab w:val="clear" w:pos="4536"/>
      </w:tabs>
      <w:spacing w:after="0" w:line="240" w:lineRule="auto"/>
      <w:jc w:val="center"/>
      <w:rPr>
        <w:b/>
        <w:szCs w:val="22"/>
      </w:rPr>
    </w:pPr>
    <w:r>
      <w:rPr>
        <w:b/>
        <w:szCs w:val="22"/>
      </w:rPr>
      <w:t>MIT DER BAFIN ABGESTIMMTE FASSUNG</w:t>
    </w:r>
  </w:p>
  <w:p w14:paraId="24A1167A" w14:textId="77777777" w:rsidR="00630F4B" w:rsidRPr="00B602A6" w:rsidRDefault="00630F4B" w:rsidP="00630F4B">
    <w:pPr>
      <w:pStyle w:val="Kopfzeile"/>
      <w:tabs>
        <w:tab w:val="clear" w:pos="4536"/>
      </w:tabs>
      <w:spacing w:after="0" w:line="240" w:lineRule="auto"/>
      <w:jc w:val="center"/>
      <w:rPr>
        <w:b/>
        <w:sz w:val="16"/>
        <w:szCs w:val="16"/>
      </w:rPr>
    </w:pPr>
    <w:r w:rsidRPr="00B602A6">
      <w:rPr>
        <w:b/>
        <w:sz w:val="16"/>
        <w:szCs w:val="16"/>
      </w:rPr>
      <w:t xml:space="preserve">Allgemeine </w:t>
    </w:r>
    <w:r>
      <w:rPr>
        <w:b/>
        <w:sz w:val="16"/>
        <w:szCs w:val="16"/>
      </w:rPr>
      <w:t>Anlage</w:t>
    </w:r>
    <w:r w:rsidRPr="00B602A6">
      <w:rPr>
        <w:b/>
        <w:sz w:val="16"/>
        <w:szCs w:val="16"/>
      </w:rPr>
      <w:t>bedingungen für</w:t>
    </w:r>
  </w:p>
  <w:p w14:paraId="52E802B6" w14:textId="77777777" w:rsidR="00630F4B" w:rsidRPr="00B602A6" w:rsidRDefault="00630F4B" w:rsidP="00630F4B">
    <w:pPr>
      <w:pStyle w:val="Kopfzeile"/>
      <w:tabs>
        <w:tab w:val="clear" w:pos="4536"/>
      </w:tabs>
      <w:spacing w:after="0" w:line="240" w:lineRule="auto"/>
      <w:jc w:val="center"/>
      <w:rPr>
        <w:b/>
        <w:sz w:val="16"/>
        <w:szCs w:val="16"/>
      </w:rPr>
    </w:pPr>
    <w:r>
      <w:rPr>
        <w:b/>
        <w:sz w:val="16"/>
        <w:szCs w:val="16"/>
      </w:rPr>
      <w:t>OGAW-</w:t>
    </w:r>
    <w:r w:rsidRPr="00B602A6">
      <w:rPr>
        <w:b/>
        <w:sz w:val="16"/>
        <w:szCs w:val="16"/>
      </w:rPr>
      <w:t>SONDERVERMÖGEN</w:t>
    </w:r>
  </w:p>
  <w:p w14:paraId="29BCE965" w14:textId="77777777" w:rsidR="00630F4B" w:rsidRPr="00B602A6" w:rsidRDefault="00630F4B" w:rsidP="00630F4B">
    <w:pPr>
      <w:pStyle w:val="Kopfzeile"/>
      <w:tabs>
        <w:tab w:val="clear" w:pos="4536"/>
      </w:tabs>
      <w:spacing w:after="0" w:line="240" w:lineRule="auto"/>
      <w:jc w:val="center"/>
      <w:rPr>
        <w:b/>
        <w:sz w:val="16"/>
        <w:szCs w:val="16"/>
      </w:rPr>
    </w:pPr>
  </w:p>
  <w:p w14:paraId="4F528309" w14:textId="21DF583E" w:rsidR="00630F4B" w:rsidRPr="00B602A6" w:rsidRDefault="00630F4B" w:rsidP="00630F4B">
    <w:pPr>
      <w:pStyle w:val="Kopfzeile"/>
      <w:tabs>
        <w:tab w:val="clear" w:pos="4536"/>
      </w:tabs>
      <w:spacing w:after="0" w:line="240" w:lineRule="auto"/>
      <w:jc w:val="center"/>
      <w:rPr>
        <w:b/>
        <w:sz w:val="16"/>
        <w:szCs w:val="16"/>
      </w:rPr>
    </w:pPr>
    <w:r w:rsidRPr="00B602A6">
      <w:rPr>
        <w:b/>
        <w:sz w:val="16"/>
        <w:szCs w:val="16"/>
      </w:rPr>
      <w:t>(Stand:</w:t>
    </w:r>
    <w:r w:rsidR="00EF3783">
      <w:rPr>
        <w:b/>
        <w:sz w:val="16"/>
        <w:szCs w:val="16"/>
      </w:rPr>
      <w:t xml:space="preserve"> </w:t>
    </w:r>
    <w:r w:rsidR="002022AF" w:rsidRPr="008D1A91">
      <w:rPr>
        <w:b/>
        <w:sz w:val="16"/>
        <w:szCs w:val="16"/>
      </w:rPr>
      <w:t>13. Mai 2024</w:t>
    </w:r>
    <w:r w:rsidRPr="00B602A6">
      <w:rPr>
        <w:b/>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3326" w14:textId="5204B19C" w:rsidR="00EA5517" w:rsidRDefault="00EA5517" w:rsidP="00EA5517">
    <w:pPr>
      <w:pStyle w:val="Kopfzeile"/>
      <w:jc w:val="center"/>
    </w:pPr>
    <w:r>
      <w:rPr>
        <w:b/>
        <w:szCs w:val="22"/>
      </w:rPr>
      <w:t>MIT DER BAFIN ABGESTIMMTE FASSUNG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A5D6" w14:textId="228C47F0" w:rsidR="004A6A5A" w:rsidRPr="00A4221C" w:rsidRDefault="00630F4B">
    <w:pPr>
      <w:pStyle w:val="Kopfzeile"/>
      <w:tabs>
        <w:tab w:val="clear" w:pos="4536"/>
      </w:tabs>
      <w:spacing w:after="0" w:line="240" w:lineRule="auto"/>
      <w:jc w:val="center"/>
      <w:rPr>
        <w:b/>
        <w:szCs w:val="22"/>
      </w:rPr>
    </w:pPr>
    <w:r>
      <w:rPr>
        <w:b/>
        <w:szCs w:val="22"/>
      </w:rPr>
      <w:t>MIT DER BAFIN ABGESTIMMTE FASSUNG</w:t>
    </w:r>
  </w:p>
  <w:p w14:paraId="26FBE1AE" w14:textId="77777777" w:rsidR="004A6A5A" w:rsidRPr="00B602A6" w:rsidRDefault="004A6A5A">
    <w:pPr>
      <w:pStyle w:val="Kopfzeile"/>
      <w:tabs>
        <w:tab w:val="clear" w:pos="4536"/>
      </w:tabs>
      <w:spacing w:after="0" w:line="240" w:lineRule="auto"/>
      <w:jc w:val="center"/>
      <w:rPr>
        <w:b/>
        <w:sz w:val="16"/>
        <w:szCs w:val="16"/>
      </w:rPr>
    </w:pPr>
    <w:r w:rsidRPr="00B602A6">
      <w:rPr>
        <w:b/>
        <w:sz w:val="16"/>
        <w:szCs w:val="16"/>
      </w:rPr>
      <w:t xml:space="preserve">Allgemeine </w:t>
    </w:r>
    <w:r>
      <w:rPr>
        <w:b/>
        <w:sz w:val="16"/>
        <w:szCs w:val="16"/>
      </w:rPr>
      <w:t>Anlage</w:t>
    </w:r>
    <w:r w:rsidRPr="00B602A6">
      <w:rPr>
        <w:b/>
        <w:sz w:val="16"/>
        <w:szCs w:val="16"/>
      </w:rPr>
      <w:t>bedingungen für</w:t>
    </w:r>
  </w:p>
  <w:p w14:paraId="280D8902" w14:textId="77777777" w:rsidR="004A6A5A" w:rsidRPr="00B602A6" w:rsidRDefault="004A6A5A">
    <w:pPr>
      <w:pStyle w:val="Kopfzeile"/>
      <w:tabs>
        <w:tab w:val="clear" w:pos="4536"/>
      </w:tabs>
      <w:spacing w:after="0" w:line="240" w:lineRule="auto"/>
      <w:jc w:val="center"/>
      <w:rPr>
        <w:b/>
        <w:sz w:val="16"/>
        <w:szCs w:val="16"/>
      </w:rPr>
    </w:pPr>
    <w:r>
      <w:rPr>
        <w:b/>
        <w:sz w:val="16"/>
        <w:szCs w:val="16"/>
      </w:rPr>
      <w:t>OGAW-</w:t>
    </w:r>
    <w:r w:rsidRPr="00B602A6">
      <w:rPr>
        <w:b/>
        <w:sz w:val="16"/>
        <w:szCs w:val="16"/>
      </w:rPr>
      <w:t>SONDERVERMÖGEN</w:t>
    </w:r>
  </w:p>
  <w:p w14:paraId="2A4DDF6E" w14:textId="77777777" w:rsidR="004A6A5A" w:rsidRPr="00B602A6" w:rsidRDefault="004A6A5A">
    <w:pPr>
      <w:pStyle w:val="Kopfzeile"/>
      <w:tabs>
        <w:tab w:val="clear" w:pos="4536"/>
      </w:tabs>
      <w:spacing w:after="0" w:line="240" w:lineRule="auto"/>
      <w:jc w:val="center"/>
      <w:rPr>
        <w:b/>
        <w:sz w:val="16"/>
        <w:szCs w:val="16"/>
      </w:rPr>
    </w:pPr>
  </w:p>
  <w:p w14:paraId="0881404D" w14:textId="6E5FDBF0" w:rsidR="004A6A5A" w:rsidRPr="00B602A6" w:rsidRDefault="004A6A5A">
    <w:pPr>
      <w:pStyle w:val="Kopfzeile"/>
      <w:tabs>
        <w:tab w:val="clear" w:pos="4536"/>
      </w:tabs>
      <w:spacing w:after="0" w:line="240" w:lineRule="auto"/>
      <w:jc w:val="center"/>
      <w:rPr>
        <w:b/>
        <w:sz w:val="16"/>
        <w:szCs w:val="16"/>
      </w:rPr>
    </w:pPr>
    <w:r w:rsidRPr="00B602A6">
      <w:rPr>
        <w:b/>
        <w:sz w:val="16"/>
        <w:szCs w:val="16"/>
      </w:rPr>
      <w:t>(Stand:</w:t>
    </w:r>
    <w:r w:rsidR="006155C7">
      <w:rPr>
        <w:b/>
        <w:sz w:val="16"/>
        <w:szCs w:val="16"/>
      </w:rPr>
      <w:t xml:space="preserve"> </w:t>
    </w:r>
    <w:r w:rsidR="00BE75BB" w:rsidRPr="008D1A91">
      <w:rPr>
        <w:b/>
        <w:sz w:val="16"/>
        <w:szCs w:val="16"/>
      </w:rPr>
      <w:t>13. Mai 2024</w:t>
    </w:r>
    <w:r w:rsidRPr="00B602A6">
      <w:rPr>
        <w:b/>
        <w:sz w:val="16"/>
        <w:szCs w:val="16"/>
      </w:rPr>
      <w:t>)</w:t>
    </w:r>
  </w:p>
  <w:p w14:paraId="618C8C6F" w14:textId="77777777" w:rsidR="004A6A5A" w:rsidRDefault="004A6A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D62CC4"/>
    <w:multiLevelType w:val="singleLevel"/>
    <w:tmpl w:val="268AE21C"/>
    <w:lvl w:ilvl="0">
      <w:start w:val="5"/>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F96449"/>
    <w:multiLevelType w:val="hybridMultilevel"/>
    <w:tmpl w:val="7F42AA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7563B4"/>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10D60A0F"/>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19D65C2D"/>
    <w:multiLevelType w:val="singleLevel"/>
    <w:tmpl w:val="E6ECAB62"/>
    <w:lvl w:ilvl="0">
      <w:start w:val="1"/>
      <w:numFmt w:val="bullet"/>
      <w:lvlText w:val="-"/>
      <w:lvlJc w:val="left"/>
      <w:pPr>
        <w:tabs>
          <w:tab w:val="num" w:pos="420"/>
        </w:tabs>
        <w:ind w:left="420" w:hanging="420"/>
      </w:pPr>
      <w:rPr>
        <w:rFonts w:ascii="Times New Roman" w:hAnsi="Times New Roman" w:hint="default"/>
      </w:rPr>
    </w:lvl>
  </w:abstractNum>
  <w:abstractNum w:abstractNumId="6" w15:restartNumberingAfterBreak="0">
    <w:nsid w:val="2300762E"/>
    <w:multiLevelType w:val="singleLevel"/>
    <w:tmpl w:val="32A8A63A"/>
    <w:lvl w:ilvl="0">
      <w:start w:val="1"/>
      <w:numFmt w:val="bullet"/>
      <w:lvlText w:val="-"/>
      <w:lvlJc w:val="left"/>
      <w:pPr>
        <w:tabs>
          <w:tab w:val="num" w:pos="644"/>
        </w:tabs>
        <w:ind w:left="644" w:hanging="360"/>
      </w:pPr>
      <w:rPr>
        <w:rFonts w:ascii="Times New Roman" w:hAnsi="Times New Roman" w:hint="default"/>
      </w:rPr>
    </w:lvl>
  </w:abstractNum>
  <w:abstractNum w:abstractNumId="7" w15:restartNumberingAfterBreak="0">
    <w:nsid w:val="2C4917D9"/>
    <w:multiLevelType w:val="hybridMultilevel"/>
    <w:tmpl w:val="D34C80A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CED4398"/>
    <w:multiLevelType w:val="singleLevel"/>
    <w:tmpl w:val="04070017"/>
    <w:lvl w:ilvl="0">
      <w:start w:val="1"/>
      <w:numFmt w:val="lowerLetter"/>
      <w:lvlText w:val="%1)"/>
      <w:lvlJc w:val="left"/>
      <w:pPr>
        <w:tabs>
          <w:tab w:val="num" w:pos="360"/>
        </w:tabs>
        <w:ind w:left="360" w:hanging="360"/>
      </w:pPr>
      <w:rPr>
        <w:rFonts w:cs="Times New Roman"/>
      </w:rPr>
    </w:lvl>
  </w:abstractNum>
  <w:abstractNum w:abstractNumId="9" w15:restartNumberingAfterBreak="0">
    <w:nsid w:val="345557A9"/>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0" w15:restartNumberingAfterBreak="0">
    <w:nsid w:val="3B376632"/>
    <w:multiLevelType w:val="hybridMultilevel"/>
    <w:tmpl w:val="A028C8B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0910653"/>
    <w:multiLevelType w:val="multilevel"/>
    <w:tmpl w:val="002AA7C8"/>
    <w:lvl w:ilvl="0">
      <w:start w:val="1"/>
      <w:numFmt w:val="decimal"/>
      <w:lvlRestart w:val="0"/>
      <w:pStyle w:val="RevisionArtikelBezeichner"/>
      <w:suff w:val="nothing"/>
      <w:lvlText w:val="Artikel %1"/>
      <w:lvlJc w:val="left"/>
      <w:pPr>
        <w:ind w:left="720" w:hanging="720"/>
      </w:pPr>
      <w:rPr>
        <w:rFonts w:hint="default"/>
      </w:rPr>
    </w:lvl>
    <w:lvl w:ilvl="1">
      <w:start w:val="1"/>
      <w:numFmt w:val="decimal"/>
      <w:pStyle w:val="RevisionParagraphBezeichner"/>
      <w:suff w:val="nothing"/>
      <w:lvlText w:val="§ %2"/>
      <w:lvlJc w:val="left"/>
      <w:pPr>
        <w:ind w:left="0" w:firstLine="0"/>
      </w:pPr>
      <w:rPr>
        <w:rFonts w:hint="default"/>
      </w:rPr>
    </w:lvl>
    <w:lvl w:ilvl="2">
      <w:start w:val="2"/>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425"/>
        </w:tabs>
        <w:ind w:left="425"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B6320BD"/>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5D1258A9"/>
    <w:multiLevelType w:val="singleLevel"/>
    <w:tmpl w:val="04070007"/>
    <w:lvl w:ilvl="0">
      <w:start w:val="1"/>
      <w:numFmt w:val="bullet"/>
      <w:lvlText w:val="-"/>
      <w:lvlJc w:val="left"/>
      <w:pPr>
        <w:tabs>
          <w:tab w:val="num" w:pos="360"/>
        </w:tabs>
        <w:ind w:left="360" w:hanging="360"/>
      </w:pPr>
      <w:rPr>
        <w:sz w:val="16"/>
      </w:rPr>
    </w:lvl>
  </w:abstractNum>
  <w:abstractNum w:abstractNumId="14" w15:restartNumberingAfterBreak="0">
    <w:nsid w:val="61152214"/>
    <w:multiLevelType w:val="hybridMultilevel"/>
    <w:tmpl w:val="363025AC"/>
    <w:lvl w:ilvl="0" w:tplc="7960BEE0">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8207212"/>
    <w:multiLevelType w:val="hybridMultilevel"/>
    <w:tmpl w:val="C5EC634E"/>
    <w:lvl w:ilvl="0" w:tplc="AB544488">
      <w:start w:val="4"/>
      <w:numFmt w:val="lowerLetter"/>
      <w:lvlText w:val="%1)"/>
      <w:lvlJc w:val="left"/>
      <w:pPr>
        <w:tabs>
          <w:tab w:val="num" w:pos="1080"/>
        </w:tabs>
        <w:ind w:left="1080" w:hanging="360"/>
      </w:pPr>
      <w:rPr>
        <w:rFonts w:cs="Times New Roman" w:hint="default"/>
        <w:color w:val="000000"/>
        <w:sz w:val="22"/>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C5C4590"/>
    <w:multiLevelType w:val="hybridMultilevel"/>
    <w:tmpl w:val="B9F6BF3C"/>
    <w:lvl w:ilvl="0" w:tplc="6FF480E0">
      <w:start w:val="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D750D2"/>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72143E88"/>
    <w:multiLevelType w:val="hybridMultilevel"/>
    <w:tmpl w:val="7682E97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76B25819"/>
    <w:multiLevelType w:val="hybridMultilevel"/>
    <w:tmpl w:val="F440D810"/>
    <w:lvl w:ilvl="0" w:tplc="0407000F">
      <w:start w:val="1"/>
      <w:numFmt w:val="decimal"/>
      <w:lvlText w:val="%1."/>
      <w:lvlJc w:val="left"/>
      <w:pPr>
        <w:ind w:left="720" w:hanging="360"/>
      </w:pPr>
      <w:rPr>
        <w:rFonts w:hint="default"/>
      </w:rPr>
    </w:lvl>
    <w:lvl w:ilvl="1" w:tplc="95B4B2E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06134619">
    <w:abstractNumId w:val="1"/>
  </w:num>
  <w:num w:numId="2" w16cid:durableId="1356930035">
    <w:abstractNumId w:val="17"/>
  </w:num>
  <w:num w:numId="3" w16cid:durableId="2013485406">
    <w:abstractNumId w:val="8"/>
  </w:num>
  <w:num w:numId="4" w16cid:durableId="691105587">
    <w:abstractNumId w:val="6"/>
  </w:num>
  <w:num w:numId="5" w16cid:durableId="1445929272">
    <w:abstractNumId w:val="13"/>
  </w:num>
  <w:num w:numId="6" w16cid:durableId="16199014">
    <w:abstractNumId w:val="4"/>
  </w:num>
  <w:num w:numId="7" w16cid:durableId="20619723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118912220">
    <w:abstractNumId w:val="3"/>
  </w:num>
  <w:num w:numId="9" w16cid:durableId="1199855035">
    <w:abstractNumId w:val="5"/>
  </w:num>
  <w:num w:numId="10" w16cid:durableId="1028599556">
    <w:abstractNumId w:val="9"/>
  </w:num>
  <w:num w:numId="11" w16cid:durableId="1286084435">
    <w:abstractNumId w:val="12"/>
  </w:num>
  <w:num w:numId="12" w16cid:durableId="1581869174">
    <w:abstractNumId w:val="10"/>
  </w:num>
  <w:num w:numId="13" w16cid:durableId="984357080">
    <w:abstractNumId w:val="15"/>
  </w:num>
  <w:num w:numId="14" w16cid:durableId="985161811">
    <w:abstractNumId w:val="16"/>
  </w:num>
  <w:num w:numId="15" w16cid:durableId="1612468436">
    <w:abstractNumId w:val="19"/>
  </w:num>
  <w:num w:numId="16" w16cid:durableId="821888437">
    <w:abstractNumId w:val="7"/>
  </w:num>
  <w:num w:numId="17" w16cid:durableId="625963033">
    <w:abstractNumId w:val="14"/>
  </w:num>
  <w:num w:numId="18" w16cid:durableId="1275208210">
    <w:abstractNumId w:val="18"/>
  </w:num>
  <w:num w:numId="19" w16cid:durableId="1667173108">
    <w:abstractNumId w:val="11"/>
  </w:num>
  <w:num w:numId="20" w16cid:durableId="98809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6D"/>
    <w:rsid w:val="00001664"/>
    <w:rsid w:val="00002343"/>
    <w:rsid w:val="00002E64"/>
    <w:rsid w:val="00004212"/>
    <w:rsid w:val="00007F0D"/>
    <w:rsid w:val="000110D9"/>
    <w:rsid w:val="000117B3"/>
    <w:rsid w:val="0001197B"/>
    <w:rsid w:val="0001268E"/>
    <w:rsid w:val="0001577D"/>
    <w:rsid w:val="000159A7"/>
    <w:rsid w:val="000220D9"/>
    <w:rsid w:val="000229CC"/>
    <w:rsid w:val="00024486"/>
    <w:rsid w:val="000254AD"/>
    <w:rsid w:val="00025F68"/>
    <w:rsid w:val="00031CE0"/>
    <w:rsid w:val="00032108"/>
    <w:rsid w:val="000350B1"/>
    <w:rsid w:val="00041379"/>
    <w:rsid w:val="00045AD7"/>
    <w:rsid w:val="000474C7"/>
    <w:rsid w:val="00053570"/>
    <w:rsid w:val="00053B55"/>
    <w:rsid w:val="0005658D"/>
    <w:rsid w:val="00060E13"/>
    <w:rsid w:val="00060F41"/>
    <w:rsid w:val="00062590"/>
    <w:rsid w:val="000640FD"/>
    <w:rsid w:val="00064BC8"/>
    <w:rsid w:val="000651EB"/>
    <w:rsid w:val="00066722"/>
    <w:rsid w:val="0006733D"/>
    <w:rsid w:val="000704A5"/>
    <w:rsid w:val="0007271A"/>
    <w:rsid w:val="000735B5"/>
    <w:rsid w:val="00073D1E"/>
    <w:rsid w:val="00075DA7"/>
    <w:rsid w:val="00082782"/>
    <w:rsid w:val="00084269"/>
    <w:rsid w:val="0008435C"/>
    <w:rsid w:val="000859F7"/>
    <w:rsid w:val="0008602C"/>
    <w:rsid w:val="000866D7"/>
    <w:rsid w:val="000875A7"/>
    <w:rsid w:val="00094AB5"/>
    <w:rsid w:val="00095444"/>
    <w:rsid w:val="000A1222"/>
    <w:rsid w:val="000A14EE"/>
    <w:rsid w:val="000A7EDB"/>
    <w:rsid w:val="000B140F"/>
    <w:rsid w:val="000B2543"/>
    <w:rsid w:val="000B265D"/>
    <w:rsid w:val="000B416D"/>
    <w:rsid w:val="000B4312"/>
    <w:rsid w:val="000B4BCA"/>
    <w:rsid w:val="000B554B"/>
    <w:rsid w:val="000B5FDE"/>
    <w:rsid w:val="000B68CC"/>
    <w:rsid w:val="000B7F06"/>
    <w:rsid w:val="000C07CA"/>
    <w:rsid w:val="000C0F4E"/>
    <w:rsid w:val="000C3043"/>
    <w:rsid w:val="000C3F6D"/>
    <w:rsid w:val="000C4AAD"/>
    <w:rsid w:val="000C4EE1"/>
    <w:rsid w:val="000C52A2"/>
    <w:rsid w:val="000D0ED8"/>
    <w:rsid w:val="000D2BCE"/>
    <w:rsid w:val="000E0B04"/>
    <w:rsid w:val="000E0FB8"/>
    <w:rsid w:val="000F280B"/>
    <w:rsid w:val="000F4982"/>
    <w:rsid w:val="000F6F25"/>
    <w:rsid w:val="001002CD"/>
    <w:rsid w:val="001003BB"/>
    <w:rsid w:val="00100590"/>
    <w:rsid w:val="001018EC"/>
    <w:rsid w:val="00106C28"/>
    <w:rsid w:val="00107B9C"/>
    <w:rsid w:val="00112621"/>
    <w:rsid w:val="0011296E"/>
    <w:rsid w:val="00112E01"/>
    <w:rsid w:val="00115B38"/>
    <w:rsid w:val="00116497"/>
    <w:rsid w:val="00122A96"/>
    <w:rsid w:val="00125412"/>
    <w:rsid w:val="001359D1"/>
    <w:rsid w:val="001369C9"/>
    <w:rsid w:val="00141214"/>
    <w:rsid w:val="00142AD8"/>
    <w:rsid w:val="00143F6D"/>
    <w:rsid w:val="00144F86"/>
    <w:rsid w:val="00146396"/>
    <w:rsid w:val="00152467"/>
    <w:rsid w:val="00153FB4"/>
    <w:rsid w:val="0015582A"/>
    <w:rsid w:val="00161D20"/>
    <w:rsid w:val="00162F48"/>
    <w:rsid w:val="001700F2"/>
    <w:rsid w:val="00173A4A"/>
    <w:rsid w:val="00177821"/>
    <w:rsid w:val="00180CE6"/>
    <w:rsid w:val="001813B6"/>
    <w:rsid w:val="00182973"/>
    <w:rsid w:val="00183840"/>
    <w:rsid w:val="00185AFC"/>
    <w:rsid w:val="001870D3"/>
    <w:rsid w:val="001900C1"/>
    <w:rsid w:val="0019406B"/>
    <w:rsid w:val="00194E0D"/>
    <w:rsid w:val="00195A9E"/>
    <w:rsid w:val="001A0308"/>
    <w:rsid w:val="001A045B"/>
    <w:rsid w:val="001A04BF"/>
    <w:rsid w:val="001A31EC"/>
    <w:rsid w:val="001A422F"/>
    <w:rsid w:val="001A46E8"/>
    <w:rsid w:val="001A4F0D"/>
    <w:rsid w:val="001A5D27"/>
    <w:rsid w:val="001A6A24"/>
    <w:rsid w:val="001A7086"/>
    <w:rsid w:val="001B07F9"/>
    <w:rsid w:val="001B0B6E"/>
    <w:rsid w:val="001B12CC"/>
    <w:rsid w:val="001B29BA"/>
    <w:rsid w:val="001B4E58"/>
    <w:rsid w:val="001C0A53"/>
    <w:rsid w:val="001C4CCC"/>
    <w:rsid w:val="001C7AE4"/>
    <w:rsid w:val="001D6422"/>
    <w:rsid w:val="001E0393"/>
    <w:rsid w:val="001E25D8"/>
    <w:rsid w:val="001E3C10"/>
    <w:rsid w:val="001E4706"/>
    <w:rsid w:val="001E6037"/>
    <w:rsid w:val="001F241E"/>
    <w:rsid w:val="001F31C3"/>
    <w:rsid w:val="001F3F60"/>
    <w:rsid w:val="001F4851"/>
    <w:rsid w:val="001F60DB"/>
    <w:rsid w:val="002016EF"/>
    <w:rsid w:val="002022AF"/>
    <w:rsid w:val="002029ED"/>
    <w:rsid w:val="00203445"/>
    <w:rsid w:val="0020466D"/>
    <w:rsid w:val="0021285D"/>
    <w:rsid w:val="00213D22"/>
    <w:rsid w:val="00213F3F"/>
    <w:rsid w:val="00214E5C"/>
    <w:rsid w:val="00215707"/>
    <w:rsid w:val="0021615F"/>
    <w:rsid w:val="002161CD"/>
    <w:rsid w:val="00216AD9"/>
    <w:rsid w:val="00220395"/>
    <w:rsid w:val="00224394"/>
    <w:rsid w:val="00225D70"/>
    <w:rsid w:val="00231B35"/>
    <w:rsid w:val="00235192"/>
    <w:rsid w:val="00236D40"/>
    <w:rsid w:val="00240B79"/>
    <w:rsid w:val="002410FB"/>
    <w:rsid w:val="00241C1B"/>
    <w:rsid w:val="00242213"/>
    <w:rsid w:val="002468F3"/>
    <w:rsid w:val="00247074"/>
    <w:rsid w:val="00251066"/>
    <w:rsid w:val="00252941"/>
    <w:rsid w:val="002560CE"/>
    <w:rsid w:val="0025656A"/>
    <w:rsid w:val="00257651"/>
    <w:rsid w:val="002612DB"/>
    <w:rsid w:val="002613DE"/>
    <w:rsid w:val="00264901"/>
    <w:rsid w:val="00270EEF"/>
    <w:rsid w:val="002713A1"/>
    <w:rsid w:val="00271A0B"/>
    <w:rsid w:val="002723A2"/>
    <w:rsid w:val="00272C14"/>
    <w:rsid w:val="002735B2"/>
    <w:rsid w:val="00273FD2"/>
    <w:rsid w:val="00274DAC"/>
    <w:rsid w:val="00275DA5"/>
    <w:rsid w:val="00280046"/>
    <w:rsid w:val="002838FC"/>
    <w:rsid w:val="00283C0C"/>
    <w:rsid w:val="0028409B"/>
    <w:rsid w:val="002861B0"/>
    <w:rsid w:val="00287A13"/>
    <w:rsid w:val="002904DA"/>
    <w:rsid w:val="0029101F"/>
    <w:rsid w:val="002925EA"/>
    <w:rsid w:val="00294385"/>
    <w:rsid w:val="002945B9"/>
    <w:rsid w:val="002A0D49"/>
    <w:rsid w:val="002A4D9E"/>
    <w:rsid w:val="002A6354"/>
    <w:rsid w:val="002A77D2"/>
    <w:rsid w:val="002B0641"/>
    <w:rsid w:val="002B5A32"/>
    <w:rsid w:val="002B659C"/>
    <w:rsid w:val="002B7D2F"/>
    <w:rsid w:val="002C1376"/>
    <w:rsid w:val="002C20EC"/>
    <w:rsid w:val="002C2598"/>
    <w:rsid w:val="002C387C"/>
    <w:rsid w:val="002C74F6"/>
    <w:rsid w:val="002C75AE"/>
    <w:rsid w:val="002D0754"/>
    <w:rsid w:val="002D3E6D"/>
    <w:rsid w:val="002D4BD8"/>
    <w:rsid w:val="002D4BE0"/>
    <w:rsid w:val="002D64E9"/>
    <w:rsid w:val="002E11ED"/>
    <w:rsid w:val="002E15AD"/>
    <w:rsid w:val="002E169E"/>
    <w:rsid w:val="002E217F"/>
    <w:rsid w:val="002E3E84"/>
    <w:rsid w:val="002E49BF"/>
    <w:rsid w:val="002E7447"/>
    <w:rsid w:val="002F19BF"/>
    <w:rsid w:val="002F218C"/>
    <w:rsid w:val="002F2AFB"/>
    <w:rsid w:val="002F3959"/>
    <w:rsid w:val="002F4CAB"/>
    <w:rsid w:val="002F7CC0"/>
    <w:rsid w:val="00301009"/>
    <w:rsid w:val="00302354"/>
    <w:rsid w:val="00303C24"/>
    <w:rsid w:val="003067E9"/>
    <w:rsid w:val="00311B93"/>
    <w:rsid w:val="00311F2E"/>
    <w:rsid w:val="00312AC5"/>
    <w:rsid w:val="00313C33"/>
    <w:rsid w:val="003143D1"/>
    <w:rsid w:val="0031518C"/>
    <w:rsid w:val="00316F6A"/>
    <w:rsid w:val="003172AA"/>
    <w:rsid w:val="003175F2"/>
    <w:rsid w:val="00317B7A"/>
    <w:rsid w:val="003225BB"/>
    <w:rsid w:val="00330617"/>
    <w:rsid w:val="00340AE8"/>
    <w:rsid w:val="00352ACA"/>
    <w:rsid w:val="00356165"/>
    <w:rsid w:val="00360D6A"/>
    <w:rsid w:val="003648FC"/>
    <w:rsid w:val="003676CB"/>
    <w:rsid w:val="00372D4E"/>
    <w:rsid w:val="00375694"/>
    <w:rsid w:val="00376ECE"/>
    <w:rsid w:val="00377077"/>
    <w:rsid w:val="003779C2"/>
    <w:rsid w:val="00382A19"/>
    <w:rsid w:val="0038338E"/>
    <w:rsid w:val="003852D9"/>
    <w:rsid w:val="00386101"/>
    <w:rsid w:val="00387ECE"/>
    <w:rsid w:val="0039291C"/>
    <w:rsid w:val="0039305E"/>
    <w:rsid w:val="0039679C"/>
    <w:rsid w:val="00396D22"/>
    <w:rsid w:val="00397A80"/>
    <w:rsid w:val="003A1B59"/>
    <w:rsid w:val="003B0003"/>
    <w:rsid w:val="003B0E33"/>
    <w:rsid w:val="003B3B75"/>
    <w:rsid w:val="003B5140"/>
    <w:rsid w:val="003C0E2C"/>
    <w:rsid w:val="003C158F"/>
    <w:rsid w:val="003C1C8A"/>
    <w:rsid w:val="003C2323"/>
    <w:rsid w:val="003C537C"/>
    <w:rsid w:val="003C626A"/>
    <w:rsid w:val="003C650E"/>
    <w:rsid w:val="003C7CC5"/>
    <w:rsid w:val="003D0275"/>
    <w:rsid w:val="003D2B7C"/>
    <w:rsid w:val="003D3AD9"/>
    <w:rsid w:val="003D4E61"/>
    <w:rsid w:val="003E36CE"/>
    <w:rsid w:val="003E408E"/>
    <w:rsid w:val="003E636C"/>
    <w:rsid w:val="003E710D"/>
    <w:rsid w:val="003F088F"/>
    <w:rsid w:val="003F3C0A"/>
    <w:rsid w:val="003F4227"/>
    <w:rsid w:val="003F508C"/>
    <w:rsid w:val="003F57F2"/>
    <w:rsid w:val="003F5B7A"/>
    <w:rsid w:val="003F6763"/>
    <w:rsid w:val="00400132"/>
    <w:rsid w:val="00401944"/>
    <w:rsid w:val="00401AF5"/>
    <w:rsid w:val="004026BA"/>
    <w:rsid w:val="00406EA3"/>
    <w:rsid w:val="00407263"/>
    <w:rsid w:val="00411255"/>
    <w:rsid w:val="004112CC"/>
    <w:rsid w:val="00411471"/>
    <w:rsid w:val="00411656"/>
    <w:rsid w:val="00412393"/>
    <w:rsid w:val="0041386C"/>
    <w:rsid w:val="00414810"/>
    <w:rsid w:val="00420C95"/>
    <w:rsid w:val="0042112B"/>
    <w:rsid w:val="004228C7"/>
    <w:rsid w:val="0042302D"/>
    <w:rsid w:val="0042406A"/>
    <w:rsid w:val="0042511E"/>
    <w:rsid w:val="00426131"/>
    <w:rsid w:val="00426262"/>
    <w:rsid w:val="00431714"/>
    <w:rsid w:val="00432D96"/>
    <w:rsid w:val="004340D4"/>
    <w:rsid w:val="00435D38"/>
    <w:rsid w:val="0044250B"/>
    <w:rsid w:val="00442EBC"/>
    <w:rsid w:val="00443EA5"/>
    <w:rsid w:val="00444405"/>
    <w:rsid w:val="0044476F"/>
    <w:rsid w:val="004504DE"/>
    <w:rsid w:val="0045333B"/>
    <w:rsid w:val="004538AE"/>
    <w:rsid w:val="004538EF"/>
    <w:rsid w:val="00455B26"/>
    <w:rsid w:val="00456E9E"/>
    <w:rsid w:val="00457536"/>
    <w:rsid w:val="004579C6"/>
    <w:rsid w:val="00457F7F"/>
    <w:rsid w:val="00466350"/>
    <w:rsid w:val="00467231"/>
    <w:rsid w:val="004754F5"/>
    <w:rsid w:val="00476E76"/>
    <w:rsid w:val="004777A5"/>
    <w:rsid w:val="004828C9"/>
    <w:rsid w:val="004845D4"/>
    <w:rsid w:val="00485F3D"/>
    <w:rsid w:val="00486494"/>
    <w:rsid w:val="004877CD"/>
    <w:rsid w:val="004930AB"/>
    <w:rsid w:val="00496944"/>
    <w:rsid w:val="004A125B"/>
    <w:rsid w:val="004A1842"/>
    <w:rsid w:val="004A45AF"/>
    <w:rsid w:val="004A5383"/>
    <w:rsid w:val="004A6A5A"/>
    <w:rsid w:val="004B03F5"/>
    <w:rsid w:val="004B3420"/>
    <w:rsid w:val="004B6A5D"/>
    <w:rsid w:val="004C04F4"/>
    <w:rsid w:val="004C100E"/>
    <w:rsid w:val="004C1332"/>
    <w:rsid w:val="004C1545"/>
    <w:rsid w:val="004C770C"/>
    <w:rsid w:val="004D11F4"/>
    <w:rsid w:val="004D1FBD"/>
    <w:rsid w:val="004D21F9"/>
    <w:rsid w:val="004D4642"/>
    <w:rsid w:val="004D5B37"/>
    <w:rsid w:val="004D6F4A"/>
    <w:rsid w:val="004E0101"/>
    <w:rsid w:val="004E0DCA"/>
    <w:rsid w:val="004E5270"/>
    <w:rsid w:val="004E6D89"/>
    <w:rsid w:val="004F03A9"/>
    <w:rsid w:val="004F3880"/>
    <w:rsid w:val="004F5B57"/>
    <w:rsid w:val="004F7F5E"/>
    <w:rsid w:val="00500383"/>
    <w:rsid w:val="00500885"/>
    <w:rsid w:val="00505BD4"/>
    <w:rsid w:val="00506ACB"/>
    <w:rsid w:val="00511710"/>
    <w:rsid w:val="0051410B"/>
    <w:rsid w:val="005226C6"/>
    <w:rsid w:val="00522CE6"/>
    <w:rsid w:val="00523F7F"/>
    <w:rsid w:val="00525FE0"/>
    <w:rsid w:val="00526ED1"/>
    <w:rsid w:val="0052782C"/>
    <w:rsid w:val="00531371"/>
    <w:rsid w:val="005313B5"/>
    <w:rsid w:val="00532EE2"/>
    <w:rsid w:val="00533B49"/>
    <w:rsid w:val="00535689"/>
    <w:rsid w:val="00536FA9"/>
    <w:rsid w:val="00537349"/>
    <w:rsid w:val="00541B2B"/>
    <w:rsid w:val="00551B2F"/>
    <w:rsid w:val="005521CD"/>
    <w:rsid w:val="00553E1E"/>
    <w:rsid w:val="005556C3"/>
    <w:rsid w:val="00556460"/>
    <w:rsid w:val="00562C2C"/>
    <w:rsid w:val="00564414"/>
    <w:rsid w:val="00564F72"/>
    <w:rsid w:val="00565582"/>
    <w:rsid w:val="0056636C"/>
    <w:rsid w:val="00567EAB"/>
    <w:rsid w:val="005734C8"/>
    <w:rsid w:val="00580CDA"/>
    <w:rsid w:val="0058138D"/>
    <w:rsid w:val="00583D42"/>
    <w:rsid w:val="00585D39"/>
    <w:rsid w:val="0059490C"/>
    <w:rsid w:val="005958A0"/>
    <w:rsid w:val="00597D3A"/>
    <w:rsid w:val="005A0161"/>
    <w:rsid w:val="005A0EEC"/>
    <w:rsid w:val="005A4E03"/>
    <w:rsid w:val="005B360D"/>
    <w:rsid w:val="005B4C32"/>
    <w:rsid w:val="005B5A1E"/>
    <w:rsid w:val="005B79DA"/>
    <w:rsid w:val="005B7E21"/>
    <w:rsid w:val="005C0D9E"/>
    <w:rsid w:val="005C31F1"/>
    <w:rsid w:val="005C39CF"/>
    <w:rsid w:val="005C5EA1"/>
    <w:rsid w:val="005C6E31"/>
    <w:rsid w:val="005D240D"/>
    <w:rsid w:val="005D2571"/>
    <w:rsid w:val="005D5433"/>
    <w:rsid w:val="005D746B"/>
    <w:rsid w:val="005D7799"/>
    <w:rsid w:val="005D7BD4"/>
    <w:rsid w:val="005E176D"/>
    <w:rsid w:val="005E20FC"/>
    <w:rsid w:val="005E3001"/>
    <w:rsid w:val="005E5769"/>
    <w:rsid w:val="005E693A"/>
    <w:rsid w:val="005F0291"/>
    <w:rsid w:val="005F12DC"/>
    <w:rsid w:val="005F3C04"/>
    <w:rsid w:val="005F5D36"/>
    <w:rsid w:val="00601A73"/>
    <w:rsid w:val="0060418E"/>
    <w:rsid w:val="00604F55"/>
    <w:rsid w:val="0060556F"/>
    <w:rsid w:val="00606C2A"/>
    <w:rsid w:val="00607197"/>
    <w:rsid w:val="00607677"/>
    <w:rsid w:val="00611678"/>
    <w:rsid w:val="006118E3"/>
    <w:rsid w:val="006155C7"/>
    <w:rsid w:val="0061665D"/>
    <w:rsid w:val="00623458"/>
    <w:rsid w:val="00623F10"/>
    <w:rsid w:val="00627479"/>
    <w:rsid w:val="006300D0"/>
    <w:rsid w:val="00630F4B"/>
    <w:rsid w:val="0063170B"/>
    <w:rsid w:val="0063178C"/>
    <w:rsid w:val="00634736"/>
    <w:rsid w:val="00635D16"/>
    <w:rsid w:val="00636486"/>
    <w:rsid w:val="00636D47"/>
    <w:rsid w:val="0064235C"/>
    <w:rsid w:val="006427F7"/>
    <w:rsid w:val="006446BE"/>
    <w:rsid w:val="00645FDC"/>
    <w:rsid w:val="00646E56"/>
    <w:rsid w:val="00651970"/>
    <w:rsid w:val="006526F5"/>
    <w:rsid w:val="00657C87"/>
    <w:rsid w:val="00663775"/>
    <w:rsid w:val="00666AB9"/>
    <w:rsid w:val="00667376"/>
    <w:rsid w:val="00667B55"/>
    <w:rsid w:val="006737BA"/>
    <w:rsid w:val="006739D7"/>
    <w:rsid w:val="00673D80"/>
    <w:rsid w:val="00675B7A"/>
    <w:rsid w:val="006770FE"/>
    <w:rsid w:val="0068070C"/>
    <w:rsid w:val="006847B7"/>
    <w:rsid w:val="00691A5A"/>
    <w:rsid w:val="00693656"/>
    <w:rsid w:val="006A07AA"/>
    <w:rsid w:val="006A1ADA"/>
    <w:rsid w:val="006A2A94"/>
    <w:rsid w:val="006A3CC7"/>
    <w:rsid w:val="006A6DB1"/>
    <w:rsid w:val="006B61BA"/>
    <w:rsid w:val="006B73A3"/>
    <w:rsid w:val="006D179A"/>
    <w:rsid w:val="006D20B1"/>
    <w:rsid w:val="006D34AB"/>
    <w:rsid w:val="006D43C6"/>
    <w:rsid w:val="006D564F"/>
    <w:rsid w:val="006D60E1"/>
    <w:rsid w:val="006E4050"/>
    <w:rsid w:val="006E4207"/>
    <w:rsid w:val="006E5563"/>
    <w:rsid w:val="006F4078"/>
    <w:rsid w:val="006F4664"/>
    <w:rsid w:val="006F52A4"/>
    <w:rsid w:val="006F592B"/>
    <w:rsid w:val="006F634E"/>
    <w:rsid w:val="006F77E2"/>
    <w:rsid w:val="007021F8"/>
    <w:rsid w:val="00702AC6"/>
    <w:rsid w:val="00703827"/>
    <w:rsid w:val="00703A64"/>
    <w:rsid w:val="00710D1D"/>
    <w:rsid w:val="00713113"/>
    <w:rsid w:val="00715638"/>
    <w:rsid w:val="007165CA"/>
    <w:rsid w:val="00716F2A"/>
    <w:rsid w:val="00721EF9"/>
    <w:rsid w:val="007221B8"/>
    <w:rsid w:val="0072313C"/>
    <w:rsid w:val="007318B3"/>
    <w:rsid w:val="00733016"/>
    <w:rsid w:val="00733DDD"/>
    <w:rsid w:val="007375F2"/>
    <w:rsid w:val="00740D75"/>
    <w:rsid w:val="00744AF6"/>
    <w:rsid w:val="00745D3C"/>
    <w:rsid w:val="00746E0A"/>
    <w:rsid w:val="00755397"/>
    <w:rsid w:val="007568A9"/>
    <w:rsid w:val="00756DCB"/>
    <w:rsid w:val="0075770E"/>
    <w:rsid w:val="007627E5"/>
    <w:rsid w:val="0076653C"/>
    <w:rsid w:val="00770BF0"/>
    <w:rsid w:val="00773290"/>
    <w:rsid w:val="0077393E"/>
    <w:rsid w:val="00775333"/>
    <w:rsid w:val="00781796"/>
    <w:rsid w:val="007828BC"/>
    <w:rsid w:val="00782AC9"/>
    <w:rsid w:val="007849D0"/>
    <w:rsid w:val="007852D6"/>
    <w:rsid w:val="00792D96"/>
    <w:rsid w:val="00793A06"/>
    <w:rsid w:val="0079670F"/>
    <w:rsid w:val="007973EA"/>
    <w:rsid w:val="007A014A"/>
    <w:rsid w:val="007A03DB"/>
    <w:rsid w:val="007A0B5D"/>
    <w:rsid w:val="007A3CEF"/>
    <w:rsid w:val="007A53A9"/>
    <w:rsid w:val="007A77EB"/>
    <w:rsid w:val="007B111E"/>
    <w:rsid w:val="007B136F"/>
    <w:rsid w:val="007B19D7"/>
    <w:rsid w:val="007B53D9"/>
    <w:rsid w:val="007B698D"/>
    <w:rsid w:val="007C1297"/>
    <w:rsid w:val="007C747C"/>
    <w:rsid w:val="007D02E6"/>
    <w:rsid w:val="007D08C5"/>
    <w:rsid w:val="007D36C0"/>
    <w:rsid w:val="007D6900"/>
    <w:rsid w:val="007E0DD9"/>
    <w:rsid w:val="007E0E0A"/>
    <w:rsid w:val="007E39A2"/>
    <w:rsid w:val="007E5AB7"/>
    <w:rsid w:val="007F094F"/>
    <w:rsid w:val="007F21D5"/>
    <w:rsid w:val="007F5138"/>
    <w:rsid w:val="007F62BD"/>
    <w:rsid w:val="0080079E"/>
    <w:rsid w:val="0080180C"/>
    <w:rsid w:val="00801906"/>
    <w:rsid w:val="008033C8"/>
    <w:rsid w:val="008057CA"/>
    <w:rsid w:val="0080651C"/>
    <w:rsid w:val="00806A12"/>
    <w:rsid w:val="00811264"/>
    <w:rsid w:val="00811899"/>
    <w:rsid w:val="00812D49"/>
    <w:rsid w:val="008148DD"/>
    <w:rsid w:val="00816732"/>
    <w:rsid w:val="00820505"/>
    <w:rsid w:val="00823F00"/>
    <w:rsid w:val="008257C1"/>
    <w:rsid w:val="00826013"/>
    <w:rsid w:val="008274BF"/>
    <w:rsid w:val="0083068D"/>
    <w:rsid w:val="0083183B"/>
    <w:rsid w:val="00832BB3"/>
    <w:rsid w:val="00833ABB"/>
    <w:rsid w:val="008356A0"/>
    <w:rsid w:val="0083644E"/>
    <w:rsid w:val="008371F5"/>
    <w:rsid w:val="00841D3C"/>
    <w:rsid w:val="0084593F"/>
    <w:rsid w:val="00846DA2"/>
    <w:rsid w:val="00850BFC"/>
    <w:rsid w:val="00851414"/>
    <w:rsid w:val="0085202F"/>
    <w:rsid w:val="00852288"/>
    <w:rsid w:val="00852879"/>
    <w:rsid w:val="008545D7"/>
    <w:rsid w:val="00855011"/>
    <w:rsid w:val="00855C60"/>
    <w:rsid w:val="008566AD"/>
    <w:rsid w:val="008637E8"/>
    <w:rsid w:val="008804B7"/>
    <w:rsid w:val="008814E7"/>
    <w:rsid w:val="00882555"/>
    <w:rsid w:val="00883317"/>
    <w:rsid w:val="00885093"/>
    <w:rsid w:val="00885DE1"/>
    <w:rsid w:val="00891121"/>
    <w:rsid w:val="0089387E"/>
    <w:rsid w:val="00894749"/>
    <w:rsid w:val="00897332"/>
    <w:rsid w:val="00897794"/>
    <w:rsid w:val="00897CBD"/>
    <w:rsid w:val="008A030A"/>
    <w:rsid w:val="008A2AC9"/>
    <w:rsid w:val="008A3CC7"/>
    <w:rsid w:val="008A6851"/>
    <w:rsid w:val="008A6A61"/>
    <w:rsid w:val="008A6B5A"/>
    <w:rsid w:val="008A7406"/>
    <w:rsid w:val="008B37DF"/>
    <w:rsid w:val="008B48A5"/>
    <w:rsid w:val="008B508B"/>
    <w:rsid w:val="008B6E2B"/>
    <w:rsid w:val="008C582E"/>
    <w:rsid w:val="008C64B7"/>
    <w:rsid w:val="008C6D60"/>
    <w:rsid w:val="008D0917"/>
    <w:rsid w:val="008D1A91"/>
    <w:rsid w:val="008D2C09"/>
    <w:rsid w:val="008D408E"/>
    <w:rsid w:val="008D518E"/>
    <w:rsid w:val="008E11DD"/>
    <w:rsid w:val="008E1EF8"/>
    <w:rsid w:val="008E256A"/>
    <w:rsid w:val="008E3391"/>
    <w:rsid w:val="008E3F92"/>
    <w:rsid w:val="008E5EAA"/>
    <w:rsid w:val="008F2CE4"/>
    <w:rsid w:val="008F4506"/>
    <w:rsid w:val="008F48D3"/>
    <w:rsid w:val="008F5F76"/>
    <w:rsid w:val="008F767D"/>
    <w:rsid w:val="0090076F"/>
    <w:rsid w:val="009025F7"/>
    <w:rsid w:val="009029C0"/>
    <w:rsid w:val="009036D0"/>
    <w:rsid w:val="00905540"/>
    <w:rsid w:val="00905DD5"/>
    <w:rsid w:val="00907F9A"/>
    <w:rsid w:val="00914E5C"/>
    <w:rsid w:val="0091659C"/>
    <w:rsid w:val="009175AD"/>
    <w:rsid w:val="009213ED"/>
    <w:rsid w:val="009228A7"/>
    <w:rsid w:val="00924F12"/>
    <w:rsid w:val="00930AE3"/>
    <w:rsid w:val="00931D33"/>
    <w:rsid w:val="00933C1F"/>
    <w:rsid w:val="00934488"/>
    <w:rsid w:val="00937C1D"/>
    <w:rsid w:val="0094020F"/>
    <w:rsid w:val="00940A8B"/>
    <w:rsid w:val="00942392"/>
    <w:rsid w:val="00942F7F"/>
    <w:rsid w:val="009449C8"/>
    <w:rsid w:val="0094562B"/>
    <w:rsid w:val="00953E68"/>
    <w:rsid w:val="00954EA8"/>
    <w:rsid w:val="009568F8"/>
    <w:rsid w:val="009622BA"/>
    <w:rsid w:val="0096370D"/>
    <w:rsid w:val="00963E63"/>
    <w:rsid w:val="00964B72"/>
    <w:rsid w:val="00965755"/>
    <w:rsid w:val="0096730C"/>
    <w:rsid w:val="00967693"/>
    <w:rsid w:val="00970275"/>
    <w:rsid w:val="009763E2"/>
    <w:rsid w:val="00980117"/>
    <w:rsid w:val="009805DF"/>
    <w:rsid w:val="009812F5"/>
    <w:rsid w:val="00981979"/>
    <w:rsid w:val="00981B12"/>
    <w:rsid w:val="00981C6A"/>
    <w:rsid w:val="00981D15"/>
    <w:rsid w:val="0098551A"/>
    <w:rsid w:val="00985703"/>
    <w:rsid w:val="00987D08"/>
    <w:rsid w:val="00994297"/>
    <w:rsid w:val="009942D0"/>
    <w:rsid w:val="00995FDC"/>
    <w:rsid w:val="0099623C"/>
    <w:rsid w:val="009A3CD0"/>
    <w:rsid w:val="009A69E1"/>
    <w:rsid w:val="009A6F70"/>
    <w:rsid w:val="009B0B37"/>
    <w:rsid w:val="009B15F0"/>
    <w:rsid w:val="009B1C4F"/>
    <w:rsid w:val="009B207B"/>
    <w:rsid w:val="009B50A9"/>
    <w:rsid w:val="009B74B7"/>
    <w:rsid w:val="009C1C10"/>
    <w:rsid w:val="009C2D97"/>
    <w:rsid w:val="009C6898"/>
    <w:rsid w:val="009C68B5"/>
    <w:rsid w:val="009C701B"/>
    <w:rsid w:val="009C7D86"/>
    <w:rsid w:val="009D2E3D"/>
    <w:rsid w:val="009D3112"/>
    <w:rsid w:val="009E165B"/>
    <w:rsid w:val="009E3D99"/>
    <w:rsid w:val="009E46A8"/>
    <w:rsid w:val="009E724F"/>
    <w:rsid w:val="009E7DBD"/>
    <w:rsid w:val="009F2530"/>
    <w:rsid w:val="009F3CAA"/>
    <w:rsid w:val="009F57DA"/>
    <w:rsid w:val="00A001D8"/>
    <w:rsid w:val="00A009EB"/>
    <w:rsid w:val="00A010B2"/>
    <w:rsid w:val="00A02297"/>
    <w:rsid w:val="00A036E5"/>
    <w:rsid w:val="00A04153"/>
    <w:rsid w:val="00A106E9"/>
    <w:rsid w:val="00A11543"/>
    <w:rsid w:val="00A12A29"/>
    <w:rsid w:val="00A1365D"/>
    <w:rsid w:val="00A1545F"/>
    <w:rsid w:val="00A1642A"/>
    <w:rsid w:val="00A17D67"/>
    <w:rsid w:val="00A20300"/>
    <w:rsid w:val="00A2733C"/>
    <w:rsid w:val="00A3147B"/>
    <w:rsid w:val="00A33116"/>
    <w:rsid w:val="00A34BCC"/>
    <w:rsid w:val="00A400E0"/>
    <w:rsid w:val="00A4221C"/>
    <w:rsid w:val="00A433DB"/>
    <w:rsid w:val="00A440AC"/>
    <w:rsid w:val="00A44314"/>
    <w:rsid w:val="00A4698A"/>
    <w:rsid w:val="00A51BAB"/>
    <w:rsid w:val="00A547F5"/>
    <w:rsid w:val="00A57019"/>
    <w:rsid w:val="00A57AA3"/>
    <w:rsid w:val="00A61CC9"/>
    <w:rsid w:val="00A63DF7"/>
    <w:rsid w:val="00A67F54"/>
    <w:rsid w:val="00A73534"/>
    <w:rsid w:val="00A76698"/>
    <w:rsid w:val="00A80311"/>
    <w:rsid w:val="00A81D38"/>
    <w:rsid w:val="00A83124"/>
    <w:rsid w:val="00A832FA"/>
    <w:rsid w:val="00A93B28"/>
    <w:rsid w:val="00A9423A"/>
    <w:rsid w:val="00AA1E7A"/>
    <w:rsid w:val="00AA57D3"/>
    <w:rsid w:val="00AA7732"/>
    <w:rsid w:val="00AB315B"/>
    <w:rsid w:val="00AB518C"/>
    <w:rsid w:val="00AB51E0"/>
    <w:rsid w:val="00AB711D"/>
    <w:rsid w:val="00AC58E4"/>
    <w:rsid w:val="00AD05AA"/>
    <w:rsid w:val="00AD0C38"/>
    <w:rsid w:val="00AD20F6"/>
    <w:rsid w:val="00AD2AAA"/>
    <w:rsid w:val="00AD2B88"/>
    <w:rsid w:val="00AD6912"/>
    <w:rsid w:val="00AD7573"/>
    <w:rsid w:val="00AE234B"/>
    <w:rsid w:val="00AE237C"/>
    <w:rsid w:val="00AE3596"/>
    <w:rsid w:val="00AE723E"/>
    <w:rsid w:val="00AF139C"/>
    <w:rsid w:val="00AF3E84"/>
    <w:rsid w:val="00AF5329"/>
    <w:rsid w:val="00AF53B1"/>
    <w:rsid w:val="00AF7228"/>
    <w:rsid w:val="00AF7722"/>
    <w:rsid w:val="00B0141D"/>
    <w:rsid w:val="00B02C71"/>
    <w:rsid w:val="00B02ED6"/>
    <w:rsid w:val="00B031D1"/>
    <w:rsid w:val="00B05315"/>
    <w:rsid w:val="00B06523"/>
    <w:rsid w:val="00B1232A"/>
    <w:rsid w:val="00B1461B"/>
    <w:rsid w:val="00B172A1"/>
    <w:rsid w:val="00B228EE"/>
    <w:rsid w:val="00B236F3"/>
    <w:rsid w:val="00B26465"/>
    <w:rsid w:val="00B30789"/>
    <w:rsid w:val="00B30D55"/>
    <w:rsid w:val="00B31B6E"/>
    <w:rsid w:val="00B31BF0"/>
    <w:rsid w:val="00B3381B"/>
    <w:rsid w:val="00B34BDB"/>
    <w:rsid w:val="00B35AD8"/>
    <w:rsid w:val="00B37922"/>
    <w:rsid w:val="00B37F81"/>
    <w:rsid w:val="00B40744"/>
    <w:rsid w:val="00B40AED"/>
    <w:rsid w:val="00B4134A"/>
    <w:rsid w:val="00B44117"/>
    <w:rsid w:val="00B46603"/>
    <w:rsid w:val="00B4670C"/>
    <w:rsid w:val="00B46D43"/>
    <w:rsid w:val="00B506E0"/>
    <w:rsid w:val="00B515C2"/>
    <w:rsid w:val="00B52403"/>
    <w:rsid w:val="00B530AD"/>
    <w:rsid w:val="00B557C5"/>
    <w:rsid w:val="00B57897"/>
    <w:rsid w:val="00B602A6"/>
    <w:rsid w:val="00B65459"/>
    <w:rsid w:val="00B70F1A"/>
    <w:rsid w:val="00B7175E"/>
    <w:rsid w:val="00B71DCB"/>
    <w:rsid w:val="00B7220A"/>
    <w:rsid w:val="00B7239B"/>
    <w:rsid w:val="00B7278B"/>
    <w:rsid w:val="00B8073F"/>
    <w:rsid w:val="00B81992"/>
    <w:rsid w:val="00B84488"/>
    <w:rsid w:val="00B848A4"/>
    <w:rsid w:val="00B84E67"/>
    <w:rsid w:val="00B866BD"/>
    <w:rsid w:val="00B87B11"/>
    <w:rsid w:val="00B9052C"/>
    <w:rsid w:val="00B926E7"/>
    <w:rsid w:val="00B92D5C"/>
    <w:rsid w:val="00B93472"/>
    <w:rsid w:val="00B941CF"/>
    <w:rsid w:val="00B96497"/>
    <w:rsid w:val="00B96888"/>
    <w:rsid w:val="00B96C6D"/>
    <w:rsid w:val="00BA1468"/>
    <w:rsid w:val="00BA1809"/>
    <w:rsid w:val="00BA4258"/>
    <w:rsid w:val="00BA4483"/>
    <w:rsid w:val="00BA6CFB"/>
    <w:rsid w:val="00BA7445"/>
    <w:rsid w:val="00BB0048"/>
    <w:rsid w:val="00BB182D"/>
    <w:rsid w:val="00BB2590"/>
    <w:rsid w:val="00BB29E5"/>
    <w:rsid w:val="00BB2D29"/>
    <w:rsid w:val="00BB613A"/>
    <w:rsid w:val="00BC3D8A"/>
    <w:rsid w:val="00BC6298"/>
    <w:rsid w:val="00BD0284"/>
    <w:rsid w:val="00BD0C1D"/>
    <w:rsid w:val="00BE0F4D"/>
    <w:rsid w:val="00BE2B4D"/>
    <w:rsid w:val="00BE7567"/>
    <w:rsid w:val="00BE75BB"/>
    <w:rsid w:val="00BF013B"/>
    <w:rsid w:val="00BF054C"/>
    <w:rsid w:val="00BF4357"/>
    <w:rsid w:val="00BF5360"/>
    <w:rsid w:val="00BF5D18"/>
    <w:rsid w:val="00BF6BFD"/>
    <w:rsid w:val="00C02C0C"/>
    <w:rsid w:val="00C04DE1"/>
    <w:rsid w:val="00C0573F"/>
    <w:rsid w:val="00C05B6B"/>
    <w:rsid w:val="00C141EA"/>
    <w:rsid w:val="00C15C0A"/>
    <w:rsid w:val="00C224F4"/>
    <w:rsid w:val="00C26BB9"/>
    <w:rsid w:val="00C27AB6"/>
    <w:rsid w:val="00C32DA1"/>
    <w:rsid w:val="00C34EDF"/>
    <w:rsid w:val="00C35959"/>
    <w:rsid w:val="00C37B6D"/>
    <w:rsid w:val="00C433CE"/>
    <w:rsid w:val="00C44F76"/>
    <w:rsid w:val="00C45966"/>
    <w:rsid w:val="00C5243C"/>
    <w:rsid w:val="00C54F7F"/>
    <w:rsid w:val="00C57022"/>
    <w:rsid w:val="00C613A9"/>
    <w:rsid w:val="00C6195A"/>
    <w:rsid w:val="00C62433"/>
    <w:rsid w:val="00C63A21"/>
    <w:rsid w:val="00C65D4B"/>
    <w:rsid w:val="00C672F8"/>
    <w:rsid w:val="00C71C71"/>
    <w:rsid w:val="00C73575"/>
    <w:rsid w:val="00C75024"/>
    <w:rsid w:val="00C75887"/>
    <w:rsid w:val="00C75DE9"/>
    <w:rsid w:val="00C76F8A"/>
    <w:rsid w:val="00C7736F"/>
    <w:rsid w:val="00C8073E"/>
    <w:rsid w:val="00C8122B"/>
    <w:rsid w:val="00C8424D"/>
    <w:rsid w:val="00C84D26"/>
    <w:rsid w:val="00C85FCD"/>
    <w:rsid w:val="00C91D58"/>
    <w:rsid w:val="00C933D9"/>
    <w:rsid w:val="00C935BA"/>
    <w:rsid w:val="00C962F1"/>
    <w:rsid w:val="00C9687D"/>
    <w:rsid w:val="00CA0E71"/>
    <w:rsid w:val="00CA40D6"/>
    <w:rsid w:val="00CA5078"/>
    <w:rsid w:val="00CA51DA"/>
    <w:rsid w:val="00CA5EC5"/>
    <w:rsid w:val="00CB02DE"/>
    <w:rsid w:val="00CB0F66"/>
    <w:rsid w:val="00CB2118"/>
    <w:rsid w:val="00CB2231"/>
    <w:rsid w:val="00CB310A"/>
    <w:rsid w:val="00CB3A1D"/>
    <w:rsid w:val="00CB3D46"/>
    <w:rsid w:val="00CC0A6D"/>
    <w:rsid w:val="00CC1ABA"/>
    <w:rsid w:val="00CC5508"/>
    <w:rsid w:val="00CD0C18"/>
    <w:rsid w:val="00CD2BFC"/>
    <w:rsid w:val="00CD4DD1"/>
    <w:rsid w:val="00CD51F9"/>
    <w:rsid w:val="00CD567C"/>
    <w:rsid w:val="00CD6B54"/>
    <w:rsid w:val="00CD734D"/>
    <w:rsid w:val="00CD76B6"/>
    <w:rsid w:val="00CE1811"/>
    <w:rsid w:val="00CE1D3B"/>
    <w:rsid w:val="00CE23F0"/>
    <w:rsid w:val="00CE4C58"/>
    <w:rsid w:val="00CE70B8"/>
    <w:rsid w:val="00CE7797"/>
    <w:rsid w:val="00CF0809"/>
    <w:rsid w:val="00CF080A"/>
    <w:rsid w:val="00CF543D"/>
    <w:rsid w:val="00CF57C9"/>
    <w:rsid w:val="00CF5A0E"/>
    <w:rsid w:val="00CF6690"/>
    <w:rsid w:val="00D0000B"/>
    <w:rsid w:val="00D002F5"/>
    <w:rsid w:val="00D01DC2"/>
    <w:rsid w:val="00D05221"/>
    <w:rsid w:val="00D05F9E"/>
    <w:rsid w:val="00D10ABD"/>
    <w:rsid w:val="00D11749"/>
    <w:rsid w:val="00D12EC5"/>
    <w:rsid w:val="00D13B03"/>
    <w:rsid w:val="00D13BF0"/>
    <w:rsid w:val="00D17996"/>
    <w:rsid w:val="00D2121B"/>
    <w:rsid w:val="00D23241"/>
    <w:rsid w:val="00D2771E"/>
    <w:rsid w:val="00D311CF"/>
    <w:rsid w:val="00D311E4"/>
    <w:rsid w:val="00D34876"/>
    <w:rsid w:val="00D4022D"/>
    <w:rsid w:val="00D4073E"/>
    <w:rsid w:val="00D42783"/>
    <w:rsid w:val="00D45315"/>
    <w:rsid w:val="00D45CC2"/>
    <w:rsid w:val="00D46A71"/>
    <w:rsid w:val="00D510FB"/>
    <w:rsid w:val="00D5227A"/>
    <w:rsid w:val="00D55D2B"/>
    <w:rsid w:val="00D57CE5"/>
    <w:rsid w:val="00D64B9A"/>
    <w:rsid w:val="00D65489"/>
    <w:rsid w:val="00D679E1"/>
    <w:rsid w:val="00D67C93"/>
    <w:rsid w:val="00D71FDB"/>
    <w:rsid w:val="00D72CB0"/>
    <w:rsid w:val="00D75E41"/>
    <w:rsid w:val="00D77778"/>
    <w:rsid w:val="00D77996"/>
    <w:rsid w:val="00D80E66"/>
    <w:rsid w:val="00D827C1"/>
    <w:rsid w:val="00D830EE"/>
    <w:rsid w:val="00D84A38"/>
    <w:rsid w:val="00D84B63"/>
    <w:rsid w:val="00D8516A"/>
    <w:rsid w:val="00D86918"/>
    <w:rsid w:val="00D874B0"/>
    <w:rsid w:val="00D92557"/>
    <w:rsid w:val="00D968A5"/>
    <w:rsid w:val="00D9769B"/>
    <w:rsid w:val="00D979E9"/>
    <w:rsid w:val="00DA275D"/>
    <w:rsid w:val="00DA2CBB"/>
    <w:rsid w:val="00DA2FE5"/>
    <w:rsid w:val="00DA4190"/>
    <w:rsid w:val="00DB04C3"/>
    <w:rsid w:val="00DB1267"/>
    <w:rsid w:val="00DB35D8"/>
    <w:rsid w:val="00DB4335"/>
    <w:rsid w:val="00DB5D96"/>
    <w:rsid w:val="00DB68B7"/>
    <w:rsid w:val="00DB7E84"/>
    <w:rsid w:val="00DC0604"/>
    <w:rsid w:val="00DC2283"/>
    <w:rsid w:val="00DC2DC1"/>
    <w:rsid w:val="00DC3490"/>
    <w:rsid w:val="00DC6E55"/>
    <w:rsid w:val="00DD3BBD"/>
    <w:rsid w:val="00DD4718"/>
    <w:rsid w:val="00DD793B"/>
    <w:rsid w:val="00DD7A39"/>
    <w:rsid w:val="00DE43C9"/>
    <w:rsid w:val="00DE5104"/>
    <w:rsid w:val="00DE57E2"/>
    <w:rsid w:val="00DE7863"/>
    <w:rsid w:val="00DF02E6"/>
    <w:rsid w:val="00DF5033"/>
    <w:rsid w:val="00DF5DB9"/>
    <w:rsid w:val="00DF7CCF"/>
    <w:rsid w:val="00E01676"/>
    <w:rsid w:val="00E02858"/>
    <w:rsid w:val="00E02B90"/>
    <w:rsid w:val="00E03867"/>
    <w:rsid w:val="00E03D40"/>
    <w:rsid w:val="00E045D4"/>
    <w:rsid w:val="00E056E4"/>
    <w:rsid w:val="00E06041"/>
    <w:rsid w:val="00E0639B"/>
    <w:rsid w:val="00E074BC"/>
    <w:rsid w:val="00E0794A"/>
    <w:rsid w:val="00E10125"/>
    <w:rsid w:val="00E13ACF"/>
    <w:rsid w:val="00E15027"/>
    <w:rsid w:val="00E218DC"/>
    <w:rsid w:val="00E231D6"/>
    <w:rsid w:val="00E24C75"/>
    <w:rsid w:val="00E24C8E"/>
    <w:rsid w:val="00E26141"/>
    <w:rsid w:val="00E277BF"/>
    <w:rsid w:val="00E30708"/>
    <w:rsid w:val="00E37A55"/>
    <w:rsid w:val="00E42142"/>
    <w:rsid w:val="00E42CA2"/>
    <w:rsid w:val="00E46F67"/>
    <w:rsid w:val="00E477F1"/>
    <w:rsid w:val="00E50632"/>
    <w:rsid w:val="00E523F0"/>
    <w:rsid w:val="00E52A06"/>
    <w:rsid w:val="00E545ED"/>
    <w:rsid w:val="00E546CF"/>
    <w:rsid w:val="00E60920"/>
    <w:rsid w:val="00E63504"/>
    <w:rsid w:val="00E750D6"/>
    <w:rsid w:val="00E76C51"/>
    <w:rsid w:val="00E81C2F"/>
    <w:rsid w:val="00E82508"/>
    <w:rsid w:val="00E82D1D"/>
    <w:rsid w:val="00E84314"/>
    <w:rsid w:val="00E84869"/>
    <w:rsid w:val="00E85329"/>
    <w:rsid w:val="00E8701B"/>
    <w:rsid w:val="00E930DB"/>
    <w:rsid w:val="00E95FCA"/>
    <w:rsid w:val="00E96896"/>
    <w:rsid w:val="00EA06F1"/>
    <w:rsid w:val="00EA2DE0"/>
    <w:rsid w:val="00EA5344"/>
    <w:rsid w:val="00EA5517"/>
    <w:rsid w:val="00EA67F8"/>
    <w:rsid w:val="00EB0667"/>
    <w:rsid w:val="00EB0E44"/>
    <w:rsid w:val="00EB2247"/>
    <w:rsid w:val="00EB29D0"/>
    <w:rsid w:val="00EB543A"/>
    <w:rsid w:val="00EC024E"/>
    <w:rsid w:val="00EC1F91"/>
    <w:rsid w:val="00ED2089"/>
    <w:rsid w:val="00ED6B43"/>
    <w:rsid w:val="00ED7DF5"/>
    <w:rsid w:val="00EE0505"/>
    <w:rsid w:val="00EE5603"/>
    <w:rsid w:val="00EF0C43"/>
    <w:rsid w:val="00EF17A1"/>
    <w:rsid w:val="00EF2E81"/>
    <w:rsid w:val="00EF3783"/>
    <w:rsid w:val="00EF5289"/>
    <w:rsid w:val="00EF71BB"/>
    <w:rsid w:val="00EF74A4"/>
    <w:rsid w:val="00F06A4D"/>
    <w:rsid w:val="00F101A6"/>
    <w:rsid w:val="00F10757"/>
    <w:rsid w:val="00F10772"/>
    <w:rsid w:val="00F133BE"/>
    <w:rsid w:val="00F14496"/>
    <w:rsid w:val="00F201AA"/>
    <w:rsid w:val="00F2280E"/>
    <w:rsid w:val="00F30023"/>
    <w:rsid w:val="00F30DAD"/>
    <w:rsid w:val="00F32F44"/>
    <w:rsid w:val="00F332E9"/>
    <w:rsid w:val="00F373F6"/>
    <w:rsid w:val="00F423F4"/>
    <w:rsid w:val="00F42F3A"/>
    <w:rsid w:val="00F50E41"/>
    <w:rsid w:val="00F53DF3"/>
    <w:rsid w:val="00F5757C"/>
    <w:rsid w:val="00F60132"/>
    <w:rsid w:val="00F60768"/>
    <w:rsid w:val="00F620AE"/>
    <w:rsid w:val="00F63954"/>
    <w:rsid w:val="00F72F05"/>
    <w:rsid w:val="00F7475C"/>
    <w:rsid w:val="00F75DC4"/>
    <w:rsid w:val="00F81605"/>
    <w:rsid w:val="00F8216F"/>
    <w:rsid w:val="00F845FE"/>
    <w:rsid w:val="00F858A2"/>
    <w:rsid w:val="00F86BEA"/>
    <w:rsid w:val="00F9007F"/>
    <w:rsid w:val="00F91845"/>
    <w:rsid w:val="00F91A7D"/>
    <w:rsid w:val="00F94FEA"/>
    <w:rsid w:val="00F95126"/>
    <w:rsid w:val="00F9545F"/>
    <w:rsid w:val="00FA0BB2"/>
    <w:rsid w:val="00FA425A"/>
    <w:rsid w:val="00FA496D"/>
    <w:rsid w:val="00FB07D8"/>
    <w:rsid w:val="00FB0EC3"/>
    <w:rsid w:val="00FB1792"/>
    <w:rsid w:val="00FB3282"/>
    <w:rsid w:val="00FB5652"/>
    <w:rsid w:val="00FB5853"/>
    <w:rsid w:val="00FB58EA"/>
    <w:rsid w:val="00FB6077"/>
    <w:rsid w:val="00FB647A"/>
    <w:rsid w:val="00FB7266"/>
    <w:rsid w:val="00FB7DBA"/>
    <w:rsid w:val="00FB7EF2"/>
    <w:rsid w:val="00FC2503"/>
    <w:rsid w:val="00FC3C58"/>
    <w:rsid w:val="00FC54DC"/>
    <w:rsid w:val="00FC5B6A"/>
    <w:rsid w:val="00FD1B40"/>
    <w:rsid w:val="00FD28EC"/>
    <w:rsid w:val="00FD5390"/>
    <w:rsid w:val="00FE1969"/>
    <w:rsid w:val="00FE5618"/>
    <w:rsid w:val="00FE56DE"/>
    <w:rsid w:val="00FE5862"/>
    <w:rsid w:val="00FE5C3B"/>
    <w:rsid w:val="00FF1C47"/>
    <w:rsid w:val="00FF266B"/>
    <w:rsid w:val="00FF4891"/>
    <w:rsid w:val="00FF5046"/>
    <w:rsid w:val="00FF73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7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43F6D"/>
    <w:pPr>
      <w:spacing w:after="360" w:line="360" w:lineRule="auto"/>
      <w:jc w:val="both"/>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
    <w:name w:val="V"/>
    <w:basedOn w:val="Standard"/>
    <w:next w:val="Standard"/>
    <w:rsid w:val="00143F6D"/>
    <w:pPr>
      <w:tabs>
        <w:tab w:val="left" w:pos="993"/>
        <w:tab w:val="left" w:pos="1560"/>
      </w:tabs>
      <w:ind w:hanging="567"/>
    </w:pPr>
  </w:style>
  <w:style w:type="paragraph" w:customStyle="1" w:styleId="BAKred-Standard">
    <w:name w:val="BAKred-Standard"/>
    <w:basedOn w:val="Standard"/>
    <w:rsid w:val="00143F6D"/>
  </w:style>
  <w:style w:type="paragraph" w:styleId="Kopfzeile">
    <w:name w:val="header"/>
    <w:basedOn w:val="Standard"/>
    <w:rsid w:val="00143F6D"/>
    <w:pPr>
      <w:tabs>
        <w:tab w:val="center" w:pos="4536"/>
        <w:tab w:val="right" w:pos="9072"/>
      </w:tabs>
    </w:pPr>
  </w:style>
  <w:style w:type="paragraph" w:styleId="Fuzeile">
    <w:name w:val="footer"/>
    <w:basedOn w:val="Standard"/>
    <w:rsid w:val="00143F6D"/>
    <w:pPr>
      <w:tabs>
        <w:tab w:val="center" w:pos="4536"/>
        <w:tab w:val="right" w:pos="9072"/>
      </w:tabs>
    </w:pPr>
  </w:style>
  <w:style w:type="character" w:styleId="Seitenzahl">
    <w:name w:val="page number"/>
    <w:rsid w:val="00143F6D"/>
    <w:rPr>
      <w:rFonts w:cs="Times New Roman"/>
    </w:rPr>
  </w:style>
  <w:style w:type="paragraph" w:customStyle="1" w:styleId="StandardBAKred">
    <w:name w:val="Standard BAKred"/>
    <w:basedOn w:val="Standard"/>
    <w:rsid w:val="00143F6D"/>
  </w:style>
  <w:style w:type="paragraph" w:customStyle="1" w:styleId="Paragr-berschr">
    <w:name w:val="Paragr-Überschr"/>
    <w:basedOn w:val="Standard"/>
    <w:rsid w:val="00143F6D"/>
    <w:pPr>
      <w:keepNext/>
      <w:suppressAutoHyphens/>
      <w:spacing w:before="480"/>
      <w:jc w:val="center"/>
    </w:pPr>
    <w:rPr>
      <w:b/>
      <w:sz w:val="24"/>
    </w:rPr>
  </w:style>
  <w:style w:type="paragraph" w:customStyle="1" w:styleId="Bearb-Hinweis">
    <w:name w:val="Bearb-Hinweis"/>
    <w:basedOn w:val="Standard"/>
    <w:rsid w:val="00143F6D"/>
    <w:pPr>
      <w:pBdr>
        <w:top w:val="single" w:sz="6" w:space="1" w:color="auto" w:shadow="1"/>
        <w:left w:val="single" w:sz="6" w:space="1" w:color="auto" w:shadow="1"/>
        <w:bottom w:val="single" w:sz="6" w:space="1" w:color="auto" w:shadow="1"/>
        <w:right w:val="single" w:sz="6" w:space="1" w:color="auto" w:shadow="1"/>
      </w:pBdr>
      <w:shd w:val="pct10" w:color="auto" w:fill="auto"/>
      <w:ind w:left="284" w:right="567"/>
    </w:pPr>
  </w:style>
  <w:style w:type="paragraph" w:styleId="Funotentext">
    <w:name w:val="footnote text"/>
    <w:aliases w:val="Gesetz_Fußnotentext"/>
    <w:basedOn w:val="Standard"/>
    <w:semiHidden/>
    <w:rsid w:val="00143F6D"/>
    <w:rPr>
      <w:sz w:val="20"/>
    </w:rPr>
  </w:style>
  <w:style w:type="character" w:styleId="Funotenzeichen">
    <w:name w:val="footnote reference"/>
    <w:semiHidden/>
    <w:rsid w:val="00143F6D"/>
    <w:rPr>
      <w:rFonts w:cs="Times New Roman"/>
      <w:vertAlign w:val="superscript"/>
    </w:rPr>
  </w:style>
  <w:style w:type="paragraph" w:customStyle="1" w:styleId="Standard-tm">
    <w:name w:val="Standard-tm"/>
    <w:basedOn w:val="Standard"/>
    <w:rsid w:val="00143F6D"/>
    <w:pPr>
      <w:jc w:val="center"/>
    </w:pPr>
    <w:rPr>
      <w:b/>
    </w:rPr>
  </w:style>
  <w:style w:type="paragraph" w:styleId="Sprechblasentext">
    <w:name w:val="Balloon Text"/>
    <w:basedOn w:val="Standard"/>
    <w:semiHidden/>
    <w:rsid w:val="00143F6D"/>
    <w:rPr>
      <w:rFonts w:ascii="Tahoma" w:hAnsi="Tahoma" w:cs="Tahoma"/>
      <w:sz w:val="16"/>
      <w:szCs w:val="16"/>
    </w:rPr>
  </w:style>
  <w:style w:type="paragraph" w:customStyle="1" w:styleId="GesetzNummerierung-Zahlen">
    <w:name w:val="Gesetz_Nummerierung-Zahlen"/>
    <w:basedOn w:val="Standard"/>
    <w:autoRedefine/>
    <w:rsid w:val="00E82508"/>
    <w:pPr>
      <w:keepNext/>
      <w:shd w:val="clear" w:color="auto" w:fill="FFFFFF"/>
      <w:tabs>
        <w:tab w:val="left" w:pos="1134"/>
      </w:tabs>
      <w:spacing w:after="120" w:line="240" w:lineRule="auto"/>
      <w:ind w:left="567" w:hanging="567"/>
    </w:pPr>
    <w:rPr>
      <w:rFonts w:ascii="Times New Roman" w:hAnsi="Times New Roman"/>
      <w:color w:val="000000"/>
      <w:spacing w:val="-1"/>
      <w:szCs w:val="22"/>
    </w:rPr>
  </w:style>
  <w:style w:type="paragraph" w:customStyle="1" w:styleId="GesetzText-normal">
    <w:name w:val="Gesetz_Text-normal"/>
    <w:basedOn w:val="Standard"/>
    <w:link w:val="GesetzText-normalZchn"/>
    <w:autoRedefine/>
    <w:rsid w:val="00D17996"/>
    <w:pPr>
      <w:keepNext/>
      <w:shd w:val="clear" w:color="auto" w:fill="FFFFFF"/>
      <w:spacing w:before="120" w:after="120" w:line="240" w:lineRule="auto"/>
    </w:pPr>
    <w:rPr>
      <w:rFonts w:ascii="Times New Roman" w:hAnsi="Times New Roman"/>
      <w:color w:val="000000"/>
      <w:szCs w:val="22"/>
    </w:rPr>
  </w:style>
  <w:style w:type="character" w:customStyle="1" w:styleId="GesetzText-normalZchn">
    <w:name w:val="Gesetz_Text-normal Zchn"/>
    <w:link w:val="GesetzText-normal"/>
    <w:locked/>
    <w:rsid w:val="00D17996"/>
    <w:rPr>
      <w:rFonts w:cs="Times New Roman"/>
      <w:color w:val="000000"/>
      <w:sz w:val="22"/>
      <w:szCs w:val="22"/>
      <w:lang w:val="de-DE" w:eastAsia="de-DE" w:bidi="ar-SA"/>
    </w:rPr>
  </w:style>
  <w:style w:type="paragraph" w:customStyle="1" w:styleId="GesetzNummerierung-Buchstaben">
    <w:name w:val="Gesetz_Nummerierung-Buchstaben"/>
    <w:basedOn w:val="GesetzNummerierung-Zahlen"/>
    <w:autoRedefine/>
    <w:rsid w:val="00D17996"/>
    <w:pPr>
      <w:ind w:left="1134"/>
    </w:pPr>
  </w:style>
  <w:style w:type="character" w:styleId="Kommentarzeichen">
    <w:name w:val="annotation reference"/>
    <w:uiPriority w:val="99"/>
    <w:semiHidden/>
    <w:rsid w:val="008C582E"/>
    <w:rPr>
      <w:rFonts w:cs="Times New Roman"/>
      <w:sz w:val="16"/>
      <w:szCs w:val="16"/>
    </w:rPr>
  </w:style>
  <w:style w:type="paragraph" w:styleId="Kommentartext">
    <w:name w:val="annotation text"/>
    <w:basedOn w:val="Standard"/>
    <w:link w:val="KommentartextZchn"/>
    <w:uiPriority w:val="99"/>
    <w:semiHidden/>
    <w:rsid w:val="008C582E"/>
    <w:rPr>
      <w:sz w:val="20"/>
    </w:rPr>
  </w:style>
  <w:style w:type="paragraph" w:styleId="Kommentarthema">
    <w:name w:val="annotation subject"/>
    <w:basedOn w:val="Kommentartext"/>
    <w:next w:val="Kommentartext"/>
    <w:semiHidden/>
    <w:rsid w:val="008C582E"/>
    <w:rPr>
      <w:b/>
      <w:bCs/>
    </w:rPr>
  </w:style>
  <w:style w:type="paragraph" w:customStyle="1" w:styleId="RevisionJuristischerAbsatz">
    <w:name w:val="Revision Juristischer Absatz"/>
    <w:basedOn w:val="Standard"/>
    <w:rsid w:val="00BA6CFB"/>
    <w:pPr>
      <w:numPr>
        <w:ilvl w:val="2"/>
        <w:numId w:val="19"/>
      </w:numPr>
      <w:spacing w:before="120" w:after="120" w:line="240" w:lineRule="auto"/>
    </w:pPr>
    <w:rPr>
      <w:color w:val="800000"/>
      <w:szCs w:val="24"/>
    </w:rPr>
  </w:style>
  <w:style w:type="paragraph" w:customStyle="1" w:styleId="RevisionNummerierungStufe1">
    <w:name w:val="Revision Nummerierung (Stufe 1)"/>
    <w:basedOn w:val="Standard"/>
    <w:rsid w:val="00BA6CFB"/>
    <w:pPr>
      <w:numPr>
        <w:ilvl w:val="3"/>
        <w:numId w:val="19"/>
      </w:numPr>
      <w:spacing w:before="120" w:after="120" w:line="240" w:lineRule="auto"/>
    </w:pPr>
    <w:rPr>
      <w:color w:val="800000"/>
      <w:szCs w:val="24"/>
    </w:rPr>
  </w:style>
  <w:style w:type="paragraph" w:customStyle="1" w:styleId="RevisionNummerierungStufe2">
    <w:name w:val="Revision Nummerierung (Stufe 2)"/>
    <w:basedOn w:val="Standard"/>
    <w:rsid w:val="00BA6CFB"/>
    <w:pPr>
      <w:numPr>
        <w:ilvl w:val="4"/>
        <w:numId w:val="19"/>
      </w:numPr>
      <w:spacing w:before="120" w:after="120" w:line="240" w:lineRule="auto"/>
    </w:pPr>
    <w:rPr>
      <w:color w:val="800000"/>
      <w:szCs w:val="24"/>
    </w:rPr>
  </w:style>
  <w:style w:type="paragraph" w:customStyle="1" w:styleId="RevisionNummerierungStufe3">
    <w:name w:val="Revision Nummerierung (Stufe 3)"/>
    <w:basedOn w:val="Standard"/>
    <w:rsid w:val="00BA6CFB"/>
    <w:pPr>
      <w:numPr>
        <w:ilvl w:val="5"/>
        <w:numId w:val="19"/>
      </w:numPr>
      <w:spacing w:before="120" w:after="120" w:line="240" w:lineRule="auto"/>
    </w:pPr>
    <w:rPr>
      <w:color w:val="800000"/>
      <w:szCs w:val="24"/>
    </w:rPr>
  </w:style>
  <w:style w:type="paragraph" w:customStyle="1" w:styleId="RevisionNummerierungStufe4">
    <w:name w:val="Revision Nummerierung (Stufe 4)"/>
    <w:basedOn w:val="Standard"/>
    <w:rsid w:val="00BA6CFB"/>
    <w:pPr>
      <w:numPr>
        <w:ilvl w:val="6"/>
        <w:numId w:val="19"/>
      </w:numPr>
      <w:spacing w:before="120" w:after="120" w:line="240" w:lineRule="auto"/>
    </w:pPr>
    <w:rPr>
      <w:color w:val="800000"/>
      <w:szCs w:val="24"/>
    </w:rPr>
  </w:style>
  <w:style w:type="paragraph" w:customStyle="1" w:styleId="RevisionParagraphBezeichner">
    <w:name w:val="Revision Paragraph Bezeichner"/>
    <w:basedOn w:val="Standard"/>
    <w:next w:val="Standard"/>
    <w:rsid w:val="00BA6CFB"/>
    <w:pPr>
      <w:keepNext/>
      <w:numPr>
        <w:ilvl w:val="1"/>
        <w:numId w:val="19"/>
      </w:numPr>
      <w:spacing w:before="480" w:after="120" w:line="240" w:lineRule="auto"/>
      <w:jc w:val="center"/>
    </w:pPr>
    <w:rPr>
      <w:color w:val="800000"/>
      <w:szCs w:val="24"/>
    </w:rPr>
  </w:style>
  <w:style w:type="paragraph" w:customStyle="1" w:styleId="RevisionArtikelBezeichner">
    <w:name w:val="Revision Artikel Bezeichner"/>
    <w:basedOn w:val="Standard"/>
    <w:next w:val="Standard"/>
    <w:rsid w:val="00BA6CFB"/>
    <w:pPr>
      <w:keepNext/>
      <w:numPr>
        <w:numId w:val="19"/>
      </w:numPr>
      <w:spacing w:before="480" w:after="240" w:line="240" w:lineRule="auto"/>
      <w:jc w:val="center"/>
    </w:pPr>
    <w:rPr>
      <w:b/>
      <w:color w:val="800000"/>
      <w:sz w:val="28"/>
      <w:szCs w:val="24"/>
    </w:rPr>
  </w:style>
  <w:style w:type="paragraph" w:customStyle="1" w:styleId="RevisionNummerierungStufe1manuell">
    <w:name w:val="Revision Nummerierung (Stufe 1) (manuell)"/>
    <w:basedOn w:val="Standard"/>
    <w:rsid w:val="00C5243C"/>
    <w:pPr>
      <w:tabs>
        <w:tab w:val="left" w:pos="425"/>
      </w:tabs>
      <w:spacing w:before="120" w:after="120" w:line="240" w:lineRule="auto"/>
      <w:ind w:left="425" w:hanging="425"/>
    </w:pPr>
    <w:rPr>
      <w:color w:val="800000"/>
      <w:szCs w:val="24"/>
    </w:rPr>
  </w:style>
  <w:style w:type="paragraph" w:customStyle="1" w:styleId="Default">
    <w:name w:val="Default"/>
    <w:rsid w:val="00645FDC"/>
    <w:pPr>
      <w:autoSpaceDE w:val="0"/>
      <w:autoSpaceDN w:val="0"/>
      <w:adjustRightInd w:val="0"/>
    </w:pPr>
    <w:rPr>
      <w:rFonts w:ascii="EUAlbertina" w:hAnsi="EUAlbertina" w:cs="EUAlbertina"/>
      <w:color w:val="000000"/>
      <w:sz w:val="24"/>
      <w:szCs w:val="24"/>
    </w:rPr>
  </w:style>
  <w:style w:type="paragraph" w:styleId="berarbeitung">
    <w:name w:val="Revision"/>
    <w:hidden/>
    <w:uiPriority w:val="99"/>
    <w:semiHidden/>
    <w:rsid w:val="006A07AA"/>
    <w:rPr>
      <w:rFonts w:ascii="Arial" w:hAnsi="Arial"/>
      <w:sz w:val="22"/>
    </w:rPr>
  </w:style>
  <w:style w:type="character" w:customStyle="1" w:styleId="KommentartextZchn">
    <w:name w:val="Kommentartext Zchn"/>
    <w:link w:val="Kommentartext"/>
    <w:uiPriority w:val="99"/>
    <w:semiHidden/>
    <w:rsid w:val="008F48D3"/>
    <w:rPr>
      <w:rFonts w:ascii="Arial" w:hAnsi="Arial"/>
    </w:rPr>
  </w:style>
  <w:style w:type="character" w:styleId="Hyperlink">
    <w:name w:val="Hyperlink"/>
    <w:basedOn w:val="Absatz-Standardschriftart"/>
    <w:uiPriority w:val="99"/>
    <w:unhideWhenUsed/>
    <w:rsid w:val="00C76F8A"/>
    <w:rPr>
      <w:color w:val="0000FF"/>
      <w:u w:val="single"/>
    </w:rPr>
  </w:style>
  <w:style w:type="paragraph" w:styleId="Listenabsatz">
    <w:name w:val="List Paragraph"/>
    <w:basedOn w:val="Standard"/>
    <w:uiPriority w:val="34"/>
    <w:qFormat/>
    <w:rsid w:val="006737BA"/>
    <w:pPr>
      <w:ind w:left="720"/>
      <w:contextualSpacing/>
    </w:pPr>
  </w:style>
  <w:style w:type="character" w:styleId="NichtaufgelsteErwhnung">
    <w:name w:val="Unresolved Mention"/>
    <w:basedOn w:val="Absatz-Standardschriftart"/>
    <w:uiPriority w:val="99"/>
    <w:semiHidden/>
    <w:unhideWhenUsed/>
    <w:rsid w:val="00B65459"/>
    <w:rPr>
      <w:color w:val="605E5C"/>
      <w:shd w:val="clear" w:color="auto" w:fill="E1DFDD"/>
    </w:rPr>
  </w:style>
  <w:style w:type="character" w:customStyle="1" w:styleId="happ">
    <w:name w:val="happ"/>
    <w:basedOn w:val="Absatz-Standardschriftart"/>
    <w:rsid w:val="007A3CEF"/>
  </w:style>
  <w:style w:type="character" w:customStyle="1" w:styleId="cf01">
    <w:name w:val="cf01"/>
    <w:basedOn w:val="Absatz-Standardschriftart"/>
    <w:rsid w:val="002A0D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55518">
      <w:bodyDiv w:val="1"/>
      <w:marLeft w:val="0"/>
      <w:marRight w:val="0"/>
      <w:marTop w:val="0"/>
      <w:marBottom w:val="0"/>
      <w:divBdr>
        <w:top w:val="none" w:sz="0" w:space="0" w:color="auto"/>
        <w:left w:val="none" w:sz="0" w:space="0" w:color="auto"/>
        <w:bottom w:val="none" w:sz="0" w:space="0" w:color="auto"/>
        <w:right w:val="none" w:sz="0" w:space="0" w:color="auto"/>
      </w:divBdr>
    </w:div>
    <w:div w:id="709453421">
      <w:bodyDiv w:val="1"/>
      <w:marLeft w:val="0"/>
      <w:marRight w:val="0"/>
      <w:marTop w:val="0"/>
      <w:marBottom w:val="0"/>
      <w:divBdr>
        <w:top w:val="none" w:sz="0" w:space="0" w:color="auto"/>
        <w:left w:val="none" w:sz="0" w:space="0" w:color="auto"/>
        <w:bottom w:val="none" w:sz="0" w:space="0" w:color="auto"/>
        <w:right w:val="none" w:sz="0" w:space="0" w:color="auto"/>
      </w:divBdr>
    </w:div>
    <w:div w:id="1311790066">
      <w:bodyDiv w:val="1"/>
      <w:marLeft w:val="0"/>
      <w:marRight w:val="0"/>
      <w:marTop w:val="0"/>
      <w:marBottom w:val="0"/>
      <w:divBdr>
        <w:top w:val="none" w:sz="0" w:space="0" w:color="auto"/>
        <w:left w:val="none" w:sz="0" w:space="0" w:color="auto"/>
        <w:bottom w:val="none" w:sz="0" w:space="0" w:color="auto"/>
        <w:right w:val="none" w:sz="0" w:space="0" w:color="auto"/>
      </w:divBdr>
    </w:div>
    <w:div w:id="1756632620">
      <w:bodyDiv w:val="1"/>
      <w:marLeft w:val="0"/>
      <w:marRight w:val="0"/>
      <w:marTop w:val="0"/>
      <w:marBottom w:val="0"/>
      <w:divBdr>
        <w:top w:val="none" w:sz="0" w:space="0" w:color="auto"/>
        <w:left w:val="none" w:sz="0" w:space="0" w:color="auto"/>
        <w:bottom w:val="none" w:sz="0" w:space="0" w:color="auto"/>
        <w:right w:val="none" w:sz="0" w:space="0" w:color="auto"/>
      </w:divBdr>
    </w:div>
    <w:div w:id="1964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buzer.de/206_KAGB.htm" TargetMode="External"/><Relationship Id="rId1" Type="http://schemas.openxmlformats.org/officeDocument/2006/relationships/hyperlink" Target="https://www.buzer.de/206_KAGB.htm"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europa.eu/consumers/od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www.ec.europa.eu/consumers/odr"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bafin.de/schlichtungsstell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5384</Words>
  <Characters>37129</Characters>
  <Application>Microsoft Office Word</Application>
  <DocSecurity>0</DocSecurity>
  <Lines>309</Lines>
  <Paragraphs>84</Paragraphs>
  <ScaleCrop>false</ScaleCrop>
  <Company/>
  <LinksUpToDate>false</LinksUpToDate>
  <CharactersWithSpaces>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2024-06-07T07:59:00Z</dcterms:created>
  <dcterms:modified xsi:type="dcterms:W3CDTF">2024-06-07T08:02:00Z</dcterms:modified>
</cp:coreProperties>
</file>