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38DD" w14:textId="77777777" w:rsidR="00693BAB" w:rsidRDefault="00693BAB">
      <w:pPr>
        <w:pStyle w:val="BAKred-Standard"/>
      </w:pPr>
    </w:p>
    <w:p w14:paraId="141E2DF6" w14:textId="77777777" w:rsidR="00693BAB" w:rsidRDefault="00693BAB"/>
    <w:tbl>
      <w:tblPr>
        <w:tblW w:w="0" w:type="auto"/>
        <w:tblLayout w:type="fixed"/>
        <w:tblCellMar>
          <w:left w:w="70" w:type="dxa"/>
          <w:right w:w="70" w:type="dxa"/>
        </w:tblCellMar>
        <w:tblLook w:val="0000" w:firstRow="0" w:lastRow="0" w:firstColumn="0" w:lastColumn="0" w:noHBand="0" w:noVBand="0"/>
      </w:tblPr>
      <w:tblGrid>
        <w:gridCol w:w="8008"/>
      </w:tblGrid>
      <w:tr w:rsidR="00693BAB" w14:paraId="7D3C77DA" w14:textId="77777777" w:rsidTr="00B73C03">
        <w:tc>
          <w:tcPr>
            <w:tcW w:w="8008" w:type="dxa"/>
            <w:tcBorders>
              <w:top w:val="single" w:sz="6" w:space="0" w:color="auto"/>
              <w:left w:val="single" w:sz="6" w:space="0" w:color="auto"/>
              <w:bottom w:val="single" w:sz="6" w:space="0" w:color="auto"/>
              <w:right w:val="single" w:sz="6" w:space="0" w:color="auto"/>
            </w:tcBorders>
            <w:shd w:val="pct10" w:color="auto" w:fill="auto"/>
            <w:vAlign w:val="center"/>
          </w:tcPr>
          <w:p w14:paraId="64D5E844" w14:textId="77777777" w:rsidR="00693BAB" w:rsidRDefault="00254A8E" w:rsidP="00B73C03">
            <w:pPr>
              <w:pStyle w:val="Standard-tm"/>
              <w:spacing w:before="240" w:after="240"/>
            </w:pPr>
            <w:r>
              <w:t>OGAW-</w:t>
            </w:r>
            <w:r w:rsidR="00693BAB">
              <w:t>SONDERVERMÖGEN</w:t>
            </w:r>
          </w:p>
        </w:tc>
      </w:tr>
    </w:tbl>
    <w:p w14:paraId="13CEEFC4" w14:textId="77777777" w:rsidR="00693BAB" w:rsidRDefault="00693BAB"/>
    <w:p w14:paraId="04D0F891" w14:textId="77777777" w:rsidR="00693BAB" w:rsidRDefault="00693BAB">
      <w:pPr>
        <w:jc w:val="center"/>
        <w:rPr>
          <w:b/>
        </w:rPr>
      </w:pPr>
      <w:r>
        <w:rPr>
          <w:b/>
        </w:rPr>
        <w:t>BAUSTEINE</w:t>
      </w:r>
    </w:p>
    <w:p w14:paraId="5FDC754B" w14:textId="77777777" w:rsidR="00693BAB" w:rsidRDefault="00693BAB">
      <w:pPr>
        <w:jc w:val="center"/>
        <w:rPr>
          <w:b/>
        </w:rPr>
      </w:pPr>
      <w:r>
        <w:rPr>
          <w:b/>
        </w:rPr>
        <w:t>für</w:t>
      </w:r>
    </w:p>
    <w:p w14:paraId="278C94F1" w14:textId="77777777" w:rsidR="00693BAB" w:rsidRDefault="00693BAB">
      <w:pPr>
        <w:jc w:val="center"/>
        <w:rPr>
          <w:b/>
          <w:caps/>
        </w:rPr>
      </w:pPr>
      <w:r>
        <w:rPr>
          <w:b/>
          <w:caps/>
        </w:rPr>
        <w:t xml:space="preserve">Besondere </w:t>
      </w:r>
      <w:r w:rsidR="003665A1">
        <w:rPr>
          <w:b/>
          <w:caps/>
        </w:rPr>
        <w:t>ANLAGE</w:t>
      </w:r>
      <w:r w:rsidR="005E40B3">
        <w:rPr>
          <w:b/>
          <w:caps/>
        </w:rPr>
        <w:t>bedingungen</w:t>
      </w:r>
    </w:p>
    <w:p w14:paraId="573A9B18" w14:textId="77777777" w:rsidR="00693BAB" w:rsidRDefault="00B73C03">
      <w:pPr>
        <w:jc w:val="center"/>
        <w:rPr>
          <w:b/>
          <w:caps/>
        </w:rPr>
      </w:pPr>
      <w:r w:rsidRPr="00B73C03">
        <w:rPr>
          <w:b/>
        </w:rPr>
        <w:t>f</w:t>
      </w:r>
      <w:r w:rsidR="00693BAB" w:rsidRPr="00B73C03">
        <w:rPr>
          <w:b/>
        </w:rPr>
        <w:t>ür</w:t>
      </w:r>
    </w:p>
    <w:p w14:paraId="7E5CD4BC" w14:textId="77777777" w:rsidR="00693BAB" w:rsidRDefault="00254A8E">
      <w:pPr>
        <w:jc w:val="center"/>
        <w:rPr>
          <w:b/>
          <w:caps/>
        </w:rPr>
      </w:pPr>
      <w:r>
        <w:rPr>
          <w:b/>
          <w:caps/>
        </w:rPr>
        <w:t>OGAW-</w:t>
      </w:r>
      <w:r w:rsidR="00693BAB">
        <w:rPr>
          <w:b/>
          <w:caps/>
        </w:rPr>
        <w:t>sondervermögen</w:t>
      </w:r>
    </w:p>
    <w:p w14:paraId="4A5A3B83" w14:textId="77777777" w:rsidR="00693BAB" w:rsidRDefault="00693BAB" w:rsidP="00F32030">
      <w:pPr>
        <w:ind w:right="-1135"/>
        <w:jc w:val="center"/>
        <w:rPr>
          <w:b/>
        </w:rPr>
      </w:pPr>
    </w:p>
    <w:p w14:paraId="02A9FD51" w14:textId="77777777" w:rsidR="00693BAB" w:rsidRPr="00F32030" w:rsidRDefault="00693BAB">
      <w:pPr>
        <w:jc w:val="center"/>
        <w:rPr>
          <w:b/>
          <w:sz w:val="20"/>
          <w:szCs w:val="18"/>
        </w:rPr>
      </w:pPr>
    </w:p>
    <w:p w14:paraId="4E67AF0B" w14:textId="7C82B8E6" w:rsidR="00F44E06" w:rsidRPr="00F32030" w:rsidRDefault="00693BAB" w:rsidP="00F32030">
      <w:pPr>
        <w:pStyle w:val="Standard-tm"/>
        <w:rPr>
          <w:b w:val="0"/>
          <w:sz w:val="20"/>
        </w:rPr>
      </w:pPr>
      <w:r w:rsidRPr="00F32030">
        <w:rPr>
          <w:sz w:val="20"/>
        </w:rPr>
        <w:t>(Stand</w:t>
      </w:r>
      <w:r w:rsidRPr="00ED6CAA">
        <w:rPr>
          <w:color w:val="000000" w:themeColor="text1"/>
          <w:sz w:val="20"/>
        </w:rPr>
        <w:t>:</w:t>
      </w:r>
      <w:r w:rsidR="00B86872" w:rsidRPr="00ED6CAA">
        <w:rPr>
          <w:color w:val="000000" w:themeColor="text1"/>
          <w:sz w:val="20"/>
        </w:rPr>
        <w:t xml:space="preserve"> </w:t>
      </w:r>
      <w:r w:rsidR="00ED6CAA" w:rsidRPr="00ED6CAA">
        <w:rPr>
          <w:color w:val="000000" w:themeColor="text1"/>
          <w:sz w:val="20"/>
        </w:rPr>
        <w:t>21</w:t>
      </w:r>
      <w:r w:rsidR="00754622" w:rsidRPr="00ED6CAA">
        <w:rPr>
          <w:color w:val="000000" w:themeColor="text1"/>
          <w:sz w:val="20"/>
        </w:rPr>
        <w:t>.</w:t>
      </w:r>
      <w:r w:rsidR="00F32030" w:rsidRPr="00ED6CAA">
        <w:rPr>
          <w:color w:val="000000" w:themeColor="text1"/>
          <w:sz w:val="20"/>
        </w:rPr>
        <w:t xml:space="preserve"> </w:t>
      </w:r>
      <w:r w:rsidR="00ED6CAA" w:rsidRPr="00ED6CAA">
        <w:rPr>
          <w:color w:val="000000" w:themeColor="text1"/>
          <w:sz w:val="20"/>
        </w:rPr>
        <w:t xml:space="preserve">Dezember </w:t>
      </w:r>
      <w:r w:rsidR="00754622" w:rsidRPr="00ED6CAA">
        <w:rPr>
          <w:color w:val="000000" w:themeColor="text1"/>
          <w:sz w:val="20"/>
        </w:rPr>
        <w:t>2023</w:t>
      </w:r>
      <w:bookmarkStart w:id="0" w:name="_Hlk147498589"/>
      <w:r w:rsidR="00F32030" w:rsidRPr="00ED6CAA">
        <w:rPr>
          <w:color w:val="000000" w:themeColor="text1"/>
          <w:sz w:val="20"/>
        </w:rPr>
        <w:t xml:space="preserve">; </w:t>
      </w:r>
      <w:r w:rsidR="00176CC2" w:rsidRPr="00ED6CAA">
        <w:rPr>
          <w:color w:val="000000" w:themeColor="text1"/>
          <w:sz w:val="20"/>
        </w:rPr>
        <w:t>Individualkündigung</w:t>
      </w:r>
      <w:r w:rsidR="00F32030" w:rsidRPr="00ED6CAA">
        <w:rPr>
          <w:color w:val="000000" w:themeColor="text1"/>
          <w:sz w:val="20"/>
        </w:rPr>
        <w:t xml:space="preserve"> &amp;</w:t>
      </w:r>
      <w:bookmarkEnd w:id="0"/>
      <w:r w:rsidR="00176CC2" w:rsidRPr="00ED6CAA">
        <w:rPr>
          <w:color w:val="000000" w:themeColor="text1"/>
          <w:sz w:val="20"/>
        </w:rPr>
        <w:t>Substanzausschüttung</w:t>
      </w:r>
      <w:r w:rsidR="00AF284E" w:rsidRPr="00F32030">
        <w:rPr>
          <w:sz w:val="20"/>
          <w:szCs w:val="18"/>
        </w:rPr>
        <w:t>)</w:t>
      </w:r>
    </w:p>
    <w:p w14:paraId="7AB30FB0" w14:textId="77777777" w:rsidR="00F44E06" w:rsidRDefault="00F44E06">
      <w:pPr>
        <w:pStyle w:val="Standard-tm"/>
      </w:pPr>
    </w:p>
    <w:p w14:paraId="426DC9D9" w14:textId="77777777" w:rsidR="00693BAB" w:rsidRDefault="00693BAB">
      <w:pPr>
        <w:pStyle w:val="Standard-tm"/>
      </w:pPr>
    </w:p>
    <w:p w14:paraId="08E56DDD" w14:textId="77777777" w:rsidR="00E84E92" w:rsidRDefault="00E84E92" w:rsidP="00144F78">
      <w:pPr>
        <w:pStyle w:val="Standard-tm"/>
      </w:pPr>
    </w:p>
    <w:p w14:paraId="64B47D91" w14:textId="77777777" w:rsidR="00254A8E" w:rsidRDefault="00254A8E" w:rsidP="00144F78">
      <w:pPr>
        <w:pStyle w:val="Standard-tm"/>
      </w:pPr>
    </w:p>
    <w:p w14:paraId="7B420C0C" w14:textId="77777777" w:rsidR="0019149D" w:rsidRDefault="0019149D">
      <w:pPr>
        <w:spacing w:after="0" w:line="240" w:lineRule="auto"/>
        <w:jc w:val="left"/>
        <w:rPr>
          <w:b/>
        </w:rPr>
      </w:pPr>
      <w:r>
        <w:rPr>
          <w:b/>
        </w:rPr>
        <w:br w:type="page"/>
      </w:r>
    </w:p>
    <w:p w14:paraId="2FD52989" w14:textId="77777777" w:rsidR="00E84E92" w:rsidRDefault="00E84E92" w:rsidP="00E84E92">
      <w:pPr>
        <w:jc w:val="left"/>
        <w:rPr>
          <w:b/>
        </w:rPr>
      </w:pPr>
      <w:r>
        <w:rPr>
          <w:b/>
        </w:rPr>
        <w:lastRenderedPageBreak/>
        <w:t>Disclaimer:</w:t>
      </w:r>
    </w:p>
    <w:p w14:paraId="1FA74C4E" w14:textId="77777777" w:rsidR="00E84E92" w:rsidRDefault="00E84E92" w:rsidP="00E84E92">
      <w:pPr>
        <w:spacing w:line="480" w:lineRule="auto"/>
        <w:jc w:val="left"/>
      </w:pPr>
      <w:r>
        <w:t>Die nachstehende</w:t>
      </w:r>
      <w:r w:rsidR="00C926E4">
        <w:t>n</w:t>
      </w:r>
      <w:r>
        <w:t xml:space="preserve"> Muster-Anlagebedingungen, darin enthaltene Musterbausteine, Erläuterungen und Formulierungen orientieren sich an den gesetzlichen Vorgaben des KAGB.</w:t>
      </w:r>
    </w:p>
    <w:p w14:paraId="70271683" w14:textId="77777777" w:rsidR="00E84E92" w:rsidRDefault="00E84E92" w:rsidP="00E84E92">
      <w:pPr>
        <w:spacing w:line="480" w:lineRule="auto"/>
        <w:jc w:val="left"/>
      </w:pPr>
      <w:r w:rsidRPr="0019149D">
        <w:t xml:space="preserve">Sie sind vom BVI und seinen zuständigen Gremien erarbeitet und mit der BaFin </w:t>
      </w:r>
      <w:r w:rsidR="00096EC1" w:rsidRPr="0019149D">
        <w:t xml:space="preserve">unter aufsichtsrechtlichen Gesichtspunkten (und insbesondere nicht unter steuerrechtlichen Gesichtspunkten) </w:t>
      </w:r>
      <w:r w:rsidRPr="0019149D">
        <w:t>abgestimmt worden. Sie stellen eine Orientierungshilfe dar und sind nicht verbindlich; so</w:t>
      </w:r>
      <w:r>
        <w:t xml:space="preserve"> können sie etwa in Reihenfolge, Formulierung und Inhalt geändert werden. Der Verwender ist gehalten, die Muster-Anlagebedingungen für seine individuelle Nutzung genau zu prüfen und ggfs. entsprechend anzupassen.</w:t>
      </w:r>
    </w:p>
    <w:p w14:paraId="2697990D" w14:textId="77777777" w:rsidR="00E84E92" w:rsidRDefault="00E84E92" w:rsidP="00E84E92">
      <w:pPr>
        <w:spacing w:line="480" w:lineRule="auto"/>
        <w:jc w:val="left"/>
      </w:pPr>
      <w:r>
        <w:t>Die Muster-Anlagebedingungen wurden mit größtmöglicher Sorgf</w:t>
      </w:r>
      <w:r w:rsidR="0074686E">
        <w:t>alt erstellt. Da</w:t>
      </w:r>
      <w:r>
        <w:t xml:space="preserve"> ggfs. anderslautende Rechtsauffassungen </w:t>
      </w:r>
      <w:r w:rsidR="0074686E">
        <w:t xml:space="preserve">oder Fehler </w:t>
      </w:r>
      <w:r>
        <w:t>nicht ausgeschlossen werden können, erheben die Formulierungsvorschläge der Muster-Anlagebedingungen keinen Anspruch auf uneingeschränkte Rechtsgültigkeit.</w:t>
      </w:r>
    </w:p>
    <w:p w14:paraId="20D74C22" w14:textId="77777777" w:rsidR="00E84E92" w:rsidRPr="00235192" w:rsidRDefault="00E84E92" w:rsidP="00E84E92">
      <w:pPr>
        <w:spacing w:line="480" w:lineRule="auto"/>
        <w:jc w:val="left"/>
        <w:rPr>
          <w:b/>
        </w:rPr>
      </w:pPr>
      <w:r w:rsidRPr="00235192">
        <w:rPr>
          <w:b/>
        </w:rPr>
        <w:t xml:space="preserve">Der BVI </w:t>
      </w:r>
      <w:r w:rsidR="0074686E">
        <w:rPr>
          <w:b/>
        </w:rPr>
        <w:t>übernimmt</w:t>
      </w:r>
      <w:r w:rsidRPr="00235192">
        <w:rPr>
          <w:b/>
        </w:rPr>
        <w:t xml:space="preserve"> keine Haftung für den Inhalt der vorliegenden Muster-Anlagebedingungen.</w:t>
      </w:r>
    </w:p>
    <w:p w14:paraId="7E9087F8" w14:textId="77777777" w:rsidR="00E84E92" w:rsidRDefault="00E84E92">
      <w:pPr>
        <w:pStyle w:val="Standard-tm"/>
        <w:sectPr w:rsidR="00E84E92" w:rsidSect="00B87595">
          <w:headerReference w:type="even" r:id="rId8"/>
          <w:headerReference w:type="default" r:id="rId9"/>
          <w:footerReference w:type="even" r:id="rId10"/>
          <w:footerReference w:type="default" r:id="rId11"/>
          <w:headerReference w:type="first" r:id="rId12"/>
          <w:footerReference w:type="first" r:id="rId13"/>
          <w:pgSz w:w="11907" w:h="16840" w:code="9"/>
          <w:pgMar w:top="1418" w:right="2552" w:bottom="1985" w:left="1418" w:header="720" w:footer="720" w:gutter="0"/>
          <w:cols w:space="720"/>
          <w:titlePg/>
          <w:docGrid w:linePitch="299"/>
        </w:sectPr>
      </w:pPr>
    </w:p>
    <w:p w14:paraId="09BD2A36" w14:textId="77777777" w:rsidR="00693BAB" w:rsidRDefault="00693BAB">
      <w:pPr>
        <w:pStyle w:val="Standard-tm"/>
      </w:pPr>
    </w:p>
    <w:p w14:paraId="3909097F" w14:textId="77777777" w:rsidR="00693BAB" w:rsidRDefault="00693BAB">
      <w:pPr>
        <w:pStyle w:val="Standard-tm"/>
      </w:pPr>
    </w:p>
    <w:p w14:paraId="2ABE299A" w14:textId="77777777" w:rsidR="00693BAB" w:rsidRDefault="00693BAB">
      <w:pPr>
        <w:pStyle w:val="Standard-tm"/>
        <w:spacing w:line="480" w:lineRule="auto"/>
      </w:pPr>
    </w:p>
    <w:p w14:paraId="5C4EB1F7" w14:textId="77777777" w:rsidR="00693BAB" w:rsidRDefault="00693BAB">
      <w:pPr>
        <w:spacing w:line="480" w:lineRule="auto"/>
        <w:jc w:val="center"/>
      </w:pPr>
      <w:r>
        <w:rPr>
          <w:b/>
        </w:rPr>
        <w:t xml:space="preserve">Besondere </w:t>
      </w:r>
      <w:r w:rsidR="003665A1">
        <w:rPr>
          <w:b/>
        </w:rPr>
        <w:t>Anlage</w:t>
      </w:r>
      <w:r>
        <w:rPr>
          <w:b/>
        </w:rPr>
        <w:t>bedingungen</w:t>
      </w:r>
      <w:r>
        <w:rPr>
          <w:b/>
        </w:rPr>
        <w:br/>
      </w:r>
      <w:r>
        <w:t>zur Regelung des Rechtsverhältnisses zwischen</w:t>
      </w:r>
      <w:r>
        <w:br/>
        <w:t>den Anlegern und</w:t>
      </w:r>
      <w:r>
        <w:br/>
        <w:t>der ..........................., (Sitz),</w:t>
      </w:r>
      <w:r>
        <w:br/>
        <w:t>(„Gesellschaft</w:t>
      </w:r>
      <w:r w:rsidRPr="008B28B6">
        <w:t>“</w:t>
      </w:r>
      <w:r>
        <w:t>)</w:t>
      </w:r>
      <w:r>
        <w:br/>
        <w:t xml:space="preserve">für das von der Gesellschaft </w:t>
      </w:r>
      <w:r w:rsidR="007309A7">
        <w:t>verwaltete</w:t>
      </w:r>
      <w:r>
        <w:br/>
        <w:t>Sondervermögen</w:t>
      </w:r>
      <w:r w:rsidR="003665A1">
        <w:t xml:space="preserve"> gemäß der OGAW-Richtlinie</w:t>
      </w:r>
      <w:r>
        <w:br/>
        <w:t>......................................</w:t>
      </w:r>
      <w:r>
        <w:rPr>
          <w:b/>
        </w:rPr>
        <w:t>,</w:t>
      </w:r>
      <w:r>
        <w:br/>
        <w:t>die nur in Verbindung mit den für d</w:t>
      </w:r>
      <w:r w:rsidR="00082DE7">
        <w:t xml:space="preserve">ieses </w:t>
      </w:r>
      <w:r>
        <w:t>Sonder-</w:t>
      </w:r>
      <w:r>
        <w:br/>
        <w:t>vermögen von</w:t>
      </w:r>
      <w:r>
        <w:br/>
        <w:t>der Gesellschaft aufgestellten</w:t>
      </w:r>
      <w:r>
        <w:br/>
        <w:t xml:space="preserve">„Allgemeinen </w:t>
      </w:r>
      <w:r w:rsidR="003665A1">
        <w:t>Anlage</w:t>
      </w:r>
      <w:r>
        <w:t>bedingungen“</w:t>
      </w:r>
      <w:r w:rsidR="00401391">
        <w:t xml:space="preserve"> </w:t>
      </w:r>
      <w:r>
        <w:br/>
        <w:t>gelten.</w:t>
      </w:r>
    </w:p>
    <w:p w14:paraId="520E3356" w14:textId="77777777" w:rsidR="00693BAB" w:rsidRDefault="00693BAB"/>
    <w:p w14:paraId="05D44595" w14:textId="77777777" w:rsidR="00693BAB" w:rsidRDefault="00693BAB"/>
    <w:p w14:paraId="3B7E28B7" w14:textId="77777777" w:rsidR="00693BAB" w:rsidRDefault="00693BAB"/>
    <w:p w14:paraId="71ECC82C" w14:textId="77777777" w:rsidR="00693BAB" w:rsidRDefault="00693BAB">
      <w:pPr>
        <w:pStyle w:val="Paragr-berschr"/>
      </w:pPr>
      <w:r>
        <w:lastRenderedPageBreak/>
        <w:t>ANLAGEGRUNDSÄTZE UND ANLAGEGRENZEN</w:t>
      </w:r>
    </w:p>
    <w:p w14:paraId="23C83C11" w14:textId="77777777" w:rsidR="00693BAB" w:rsidRDefault="007A6104">
      <w:pPr>
        <w:pStyle w:val="Paragr-berschr"/>
      </w:pPr>
      <w:r>
        <w:t>Baustein</w:t>
      </w:r>
      <w:r w:rsidR="00693BAB">
        <w:t xml:space="preserve"> 1</w:t>
      </w:r>
      <w:r w:rsidR="00693BAB">
        <w:br/>
        <w:t>Vermögensgegenstände</w:t>
      </w:r>
    </w:p>
    <w:p w14:paraId="53B52A39" w14:textId="77777777" w:rsidR="00693BAB" w:rsidRDefault="00693BAB">
      <w:pPr>
        <w:pStyle w:val="Bearb-Hinweis"/>
        <w:pBdr>
          <w:top w:val="single" w:sz="4" w:space="1" w:color="auto"/>
          <w:left w:val="single" w:sz="4" w:space="4" w:color="auto"/>
          <w:bottom w:val="single" w:sz="4" w:space="1" w:color="auto"/>
          <w:right w:val="single" w:sz="4" w:space="4" w:color="auto"/>
        </w:pBdr>
      </w:pPr>
      <w:r>
        <w:rPr>
          <w:u w:val="single"/>
        </w:rPr>
        <w:t>Bearbeiterhinweis</w:t>
      </w:r>
      <w:r>
        <w:t>:</w:t>
      </w:r>
    </w:p>
    <w:p w14:paraId="6821A293" w14:textId="77777777" w:rsidR="00B4526D" w:rsidRDefault="00B4526D" w:rsidP="00B4526D">
      <w:pPr>
        <w:pStyle w:val="Bearb-Hinweis"/>
        <w:pBdr>
          <w:top w:val="single" w:sz="4" w:space="1" w:color="auto"/>
          <w:left w:val="single" w:sz="4" w:space="4" w:color="auto"/>
          <w:bottom w:val="single" w:sz="4" w:space="1" w:color="auto"/>
          <w:right w:val="single" w:sz="4" w:space="4" w:color="auto"/>
        </w:pBdr>
      </w:pPr>
      <w:r>
        <w:t xml:space="preserve">Die erwerbbaren Vermögensgegenstände </w:t>
      </w:r>
      <w:r w:rsidR="00450EBC">
        <w:t>sind</w:t>
      </w:r>
      <w:r>
        <w:t xml:space="preserve"> mit ihrer gesetzlichen Bezeichnung unter Bezugnahme auf die jeweil</w:t>
      </w:r>
      <w:r w:rsidR="000B741D">
        <w:t>ige</w:t>
      </w:r>
      <w:r>
        <w:t xml:space="preserve"> Bestimmung</w:t>
      </w:r>
      <w:r w:rsidR="000B741D">
        <w:t xml:space="preserve"> in den AABen</w:t>
      </w:r>
      <w:r>
        <w:t xml:space="preserve"> auf</w:t>
      </w:r>
      <w:r w:rsidR="00450EBC">
        <w:t>zuführen</w:t>
      </w:r>
      <w:r>
        <w:t>.</w:t>
      </w:r>
    </w:p>
    <w:p w14:paraId="6D66C162" w14:textId="77777777" w:rsidR="00B4526D" w:rsidRDefault="00B4526D" w:rsidP="00B4526D">
      <w:pPr>
        <w:pStyle w:val="Bearb-Hinweis"/>
        <w:pBdr>
          <w:top w:val="single" w:sz="4" w:space="1" w:color="auto"/>
          <w:left w:val="single" w:sz="4" w:space="4" w:color="auto"/>
          <w:bottom w:val="single" w:sz="4" w:space="1" w:color="auto"/>
          <w:right w:val="single" w:sz="4" w:space="4" w:color="auto"/>
        </w:pBdr>
      </w:pPr>
      <w:r>
        <w:t>Soll eine bestimmte Kategorie von Vermögensgegenständen nicht erworben werden, ist dies durch eine entsprechende Negativformulierung zum Ausdruck zu bringen.</w:t>
      </w:r>
    </w:p>
    <w:p w14:paraId="1A15C098" w14:textId="77777777" w:rsidR="00B4526D" w:rsidRDefault="007309A7">
      <w:pPr>
        <w:pStyle w:val="Bearb-Hinweis"/>
        <w:pBdr>
          <w:top w:val="single" w:sz="4" w:space="1" w:color="auto"/>
          <w:left w:val="single" w:sz="4" w:space="4" w:color="auto"/>
          <w:bottom w:val="single" w:sz="4" w:space="1" w:color="auto"/>
          <w:right w:val="single" w:sz="4" w:space="4" w:color="auto"/>
        </w:pBdr>
      </w:pPr>
      <w:r>
        <w:t>Es ist</w:t>
      </w:r>
      <w:r w:rsidR="00B4526D">
        <w:t xml:space="preserve"> nicht notwendig</w:t>
      </w:r>
      <w:r w:rsidR="00D64B1C">
        <w:t>,</w:t>
      </w:r>
      <w:r w:rsidR="00B4526D">
        <w:t xml:space="preserve"> generell eine detaillierte Aufzählung </w:t>
      </w:r>
      <w:r w:rsidR="00D64B1C">
        <w:t xml:space="preserve">der Arten </w:t>
      </w:r>
      <w:r w:rsidR="00B4526D">
        <w:t xml:space="preserve">von erwerbbaren Wertpapieren </w:t>
      </w:r>
      <w:r w:rsidR="007E70B3">
        <w:t>gemäß</w:t>
      </w:r>
      <w:r w:rsidR="00B4526D">
        <w:t xml:space="preserve"> § </w:t>
      </w:r>
      <w:r w:rsidR="003665A1">
        <w:t>193 KAGB</w:t>
      </w:r>
      <w:r w:rsidR="00B4526D">
        <w:t xml:space="preserve"> in die </w:t>
      </w:r>
      <w:r w:rsidR="003665A1">
        <w:t>Anlage</w:t>
      </w:r>
      <w:r w:rsidR="00B4526D">
        <w:t>bedingungen aufzunehmen.</w:t>
      </w:r>
      <w:r w:rsidR="00B637CA">
        <w:t xml:space="preserve"> </w:t>
      </w:r>
      <w:r w:rsidR="00D64B1C">
        <w:t>Es</w:t>
      </w:r>
      <w:r w:rsidR="00693BAB">
        <w:t xml:space="preserve"> sind </w:t>
      </w:r>
      <w:r w:rsidR="00B4526D">
        <w:t xml:space="preserve">nur dann </w:t>
      </w:r>
      <w:r w:rsidR="00693BAB">
        <w:t xml:space="preserve">konkrete Angaben darüber erforderlich, </w:t>
      </w:r>
      <w:r w:rsidR="00B4526D">
        <w:t xml:space="preserve">falls von den Möglichkeiten des § </w:t>
      </w:r>
      <w:r w:rsidR="003665A1">
        <w:t>193 KAGB</w:t>
      </w:r>
      <w:r w:rsidR="00B4526D">
        <w:t xml:space="preserve"> in eingeschränktem Umfang Gebrauch gemacht werden soll</w:t>
      </w:r>
      <w:r w:rsidR="00136500">
        <w:t>.</w:t>
      </w:r>
      <w:r w:rsidR="00FB694E">
        <w:t xml:space="preserve"> </w:t>
      </w:r>
      <w:r w:rsidR="00B4526D">
        <w:t>In einem solchen Fall hat die Kapital</w:t>
      </w:r>
      <w:r w:rsidR="003665A1">
        <w:t>verwaltungs</w:t>
      </w:r>
      <w:r w:rsidR="00B4526D">
        <w:t>gesellschaft anzugeben, welche Arten von Wertpapieren ausschließlich erworben wer</w:t>
      </w:r>
      <w:r w:rsidR="00D64B1C">
        <w:t>den sollen oder w</w:t>
      </w:r>
      <w:r w:rsidR="00B4526D">
        <w:t>elche Wertpapiere vom Erwerb ausgeschlossen werden sollen.</w:t>
      </w:r>
    </w:p>
    <w:p w14:paraId="4F8A4196" w14:textId="77777777" w:rsidR="00693BAB" w:rsidRDefault="00693BAB">
      <w:pPr>
        <w:pStyle w:val="BAKred-Standard"/>
      </w:pPr>
      <w:r>
        <w:t xml:space="preserve">Die Gesellschaft darf für das </w:t>
      </w:r>
      <w:r w:rsidR="00B60284">
        <w:t>OGAW-</w:t>
      </w:r>
      <w:r>
        <w:t>Sondervermögen folgende Vermögensgegenstände erwerben:</w:t>
      </w:r>
    </w:p>
    <w:p w14:paraId="06030471" w14:textId="77777777" w:rsidR="00693BAB" w:rsidRDefault="00693BAB">
      <w:pPr>
        <w:pStyle w:val="BAKred-Standard"/>
        <w:numPr>
          <w:ilvl w:val="0"/>
          <w:numId w:val="31"/>
        </w:numPr>
      </w:pPr>
      <w:r>
        <w:t xml:space="preserve">Wertpapiere gemäß § </w:t>
      </w:r>
      <w:r w:rsidR="00A05151">
        <w:t>5 der AABen</w:t>
      </w:r>
      <w:r>
        <w:t>,</w:t>
      </w:r>
      <w:r w:rsidR="00215072">
        <w:t xml:space="preserve"> </w:t>
      </w:r>
      <w:r w:rsidR="00136500">
        <w:t>(</w:t>
      </w:r>
      <w:r w:rsidR="00215072">
        <w:t>ausschließlich / ausgenommen</w:t>
      </w:r>
      <w:r w:rsidR="00136500">
        <w:t>)</w:t>
      </w:r>
      <w:r w:rsidR="00215072">
        <w:t xml:space="preserve"> </w:t>
      </w:r>
      <w:r>
        <w:rPr>
          <w:b/>
        </w:rPr>
        <w:t>&lt;……&gt;</w:t>
      </w:r>
    </w:p>
    <w:p w14:paraId="3CCE1A93" w14:textId="77777777" w:rsidR="00693BAB" w:rsidRDefault="00693BAB">
      <w:pPr>
        <w:pStyle w:val="BAKred-Standard"/>
        <w:numPr>
          <w:ilvl w:val="0"/>
          <w:numId w:val="31"/>
        </w:numPr>
      </w:pPr>
      <w:r>
        <w:t xml:space="preserve">Geldmarktinstrumente gemäß § </w:t>
      </w:r>
      <w:r w:rsidR="00A05151">
        <w:t>6 der AABen</w:t>
      </w:r>
      <w:r>
        <w:t>,</w:t>
      </w:r>
    </w:p>
    <w:p w14:paraId="49DE43BB" w14:textId="77777777" w:rsidR="00693BAB" w:rsidRDefault="00693BAB">
      <w:pPr>
        <w:pStyle w:val="BAKred-Standard"/>
        <w:numPr>
          <w:ilvl w:val="0"/>
          <w:numId w:val="31"/>
        </w:numPr>
      </w:pPr>
      <w:r>
        <w:t xml:space="preserve">Bankguthaben gemäß § </w:t>
      </w:r>
      <w:r w:rsidR="00A05151">
        <w:t>7 der AABen</w:t>
      </w:r>
      <w:r>
        <w:t>,</w:t>
      </w:r>
    </w:p>
    <w:p w14:paraId="6ED93DF7" w14:textId="77777777" w:rsidR="00693BAB" w:rsidRDefault="00693BAB">
      <w:pPr>
        <w:pStyle w:val="BAKred-Standard"/>
        <w:numPr>
          <w:ilvl w:val="0"/>
          <w:numId w:val="31"/>
        </w:numPr>
      </w:pPr>
      <w:r>
        <w:lastRenderedPageBreak/>
        <w:t xml:space="preserve">Investmentanteile gemäß </w:t>
      </w:r>
      <w:r w:rsidR="00A05151">
        <w:t>§ 8 der AABen</w:t>
      </w:r>
      <w:r>
        <w:t>,</w:t>
      </w:r>
    </w:p>
    <w:p w14:paraId="1F2B0F30" w14:textId="77777777" w:rsidR="00693BAB" w:rsidRDefault="00693BAB">
      <w:pPr>
        <w:pStyle w:val="BAKred-Standard"/>
        <w:numPr>
          <w:ilvl w:val="0"/>
          <w:numId w:val="31"/>
        </w:numPr>
      </w:pPr>
      <w:r>
        <w:t xml:space="preserve">Derivate gemäß § </w:t>
      </w:r>
      <w:r w:rsidR="00A05151">
        <w:t>9 der AABen</w:t>
      </w:r>
      <w:r>
        <w:t>,</w:t>
      </w:r>
    </w:p>
    <w:p w14:paraId="51F271FD" w14:textId="77777777" w:rsidR="00693BAB" w:rsidRDefault="00693BAB">
      <w:pPr>
        <w:pStyle w:val="BAKred-Standard"/>
        <w:numPr>
          <w:ilvl w:val="0"/>
          <w:numId w:val="31"/>
        </w:numPr>
      </w:pPr>
      <w:r>
        <w:t>Sonstige An</w:t>
      </w:r>
      <w:r w:rsidR="00FB694E">
        <w:t xml:space="preserve">lageinstrumente gemäß § </w:t>
      </w:r>
      <w:r w:rsidR="00A05151">
        <w:t>10 der AABen</w:t>
      </w:r>
      <w:r w:rsidR="007F4F81">
        <w:t>.</w:t>
      </w:r>
      <w:r>
        <w:t xml:space="preserve"> </w:t>
      </w:r>
    </w:p>
    <w:p w14:paraId="5D0BD0AC" w14:textId="77777777" w:rsidR="00693BAB" w:rsidRDefault="00693BAB">
      <w:pPr>
        <w:pStyle w:val="Bearb-Hinweis"/>
        <w:pBdr>
          <w:top w:val="single" w:sz="4" w:space="1" w:color="auto"/>
          <w:left w:val="single" w:sz="4" w:space="4" w:color="auto"/>
          <w:bottom w:val="single" w:sz="4" w:space="1" w:color="auto"/>
          <w:right w:val="single" w:sz="4" w:space="4" w:color="auto"/>
        </w:pBdr>
      </w:pPr>
      <w:r>
        <w:rPr>
          <w:u w:val="single"/>
        </w:rPr>
        <w:t>Bearbeiterhinweis</w:t>
      </w:r>
      <w:r>
        <w:t>:</w:t>
      </w:r>
    </w:p>
    <w:p w14:paraId="2951478E" w14:textId="77777777" w:rsidR="00693BAB" w:rsidRDefault="00693BAB">
      <w:pPr>
        <w:pStyle w:val="Bearb-Hinweis"/>
        <w:pBdr>
          <w:top w:val="single" w:sz="4" w:space="1" w:color="auto"/>
          <w:left w:val="single" w:sz="4" w:space="4" w:color="auto"/>
          <w:bottom w:val="single" w:sz="4" w:space="1" w:color="auto"/>
          <w:right w:val="single" w:sz="4" w:space="4" w:color="auto"/>
        </w:pBdr>
      </w:pPr>
      <w:r>
        <w:t>Sofern die Gesellschaft den Erwerb bestimmter Vermögensgegenstände nicht ausdrücklich in Baustein 1 ausgeschlossen hat, sind im Baustein</w:t>
      </w:r>
      <w:r w:rsidR="00B637CA">
        <w:t xml:space="preserve"> 1a und 2</w:t>
      </w:r>
      <w:r>
        <w:t xml:space="preserve"> etwaige Grenzen und Beschränkungen der erwerbbaren Vermögensgegenstände darzustellen. Die Bezeichnung des Sondervermögens darf gemäß § 4 </w:t>
      </w:r>
      <w:r w:rsidR="003665A1">
        <w:t xml:space="preserve">KAGB </w:t>
      </w:r>
      <w:r>
        <w:t xml:space="preserve">nicht irreführen. </w:t>
      </w:r>
    </w:p>
    <w:p w14:paraId="2E32C9BC" w14:textId="77777777" w:rsidR="00DB4812" w:rsidRPr="00DD7C2D" w:rsidRDefault="00693BAB">
      <w:pPr>
        <w:pStyle w:val="Paragr-berschr"/>
        <w:rPr>
          <w:szCs w:val="24"/>
        </w:rPr>
      </w:pPr>
      <w:r w:rsidRPr="00DD7C2D">
        <w:rPr>
          <w:szCs w:val="24"/>
        </w:rPr>
        <w:t>Baustein 1a</w:t>
      </w:r>
      <w:r w:rsidRPr="00DD7C2D">
        <w:rPr>
          <w:szCs w:val="24"/>
        </w:rPr>
        <w:br/>
      </w:r>
      <w:r w:rsidR="009B5F83" w:rsidRPr="00DD7C2D">
        <w:rPr>
          <w:szCs w:val="24"/>
        </w:rPr>
        <w:t>Wertpapier</w:t>
      </w:r>
      <w:r w:rsidR="00450EBC" w:rsidRPr="00DD7C2D">
        <w:rPr>
          <w:szCs w:val="24"/>
        </w:rPr>
        <w:t>-D</w:t>
      </w:r>
      <w:r w:rsidRPr="00DD7C2D">
        <w:rPr>
          <w:szCs w:val="24"/>
        </w:rPr>
        <w:t>arlehens- und Pensionsgeschäfte</w:t>
      </w:r>
    </w:p>
    <w:p w14:paraId="6D71FF25" w14:textId="77777777" w:rsidR="00BA4612" w:rsidRPr="00BA4612" w:rsidRDefault="00BA4612" w:rsidP="00D0139A">
      <w:pPr>
        <w:pStyle w:val="Bearb-Hinweis"/>
        <w:pBdr>
          <w:top w:val="single" w:sz="4" w:space="1" w:color="auto"/>
          <w:left w:val="single" w:sz="4" w:space="4" w:color="auto"/>
          <w:bottom w:val="single" w:sz="4" w:space="1" w:color="auto"/>
          <w:right w:val="single" w:sz="4" w:space="4" w:color="auto"/>
        </w:pBdr>
        <w:rPr>
          <w:u w:val="single"/>
        </w:rPr>
      </w:pPr>
      <w:r w:rsidRPr="00BA4612">
        <w:rPr>
          <w:u w:val="single"/>
        </w:rPr>
        <w:t>Bearbeiterhinweis:</w:t>
      </w:r>
    </w:p>
    <w:p w14:paraId="49562414" w14:textId="77777777" w:rsidR="00DB4812" w:rsidRDefault="00DB4812" w:rsidP="00D0139A">
      <w:pPr>
        <w:pStyle w:val="Bearb-Hinweis"/>
        <w:pBdr>
          <w:top w:val="single" w:sz="4" w:space="1" w:color="auto"/>
          <w:left w:val="single" w:sz="4" w:space="4" w:color="auto"/>
          <w:bottom w:val="single" w:sz="4" w:space="1" w:color="auto"/>
          <w:right w:val="single" w:sz="4" w:space="4" w:color="auto"/>
        </w:pBdr>
      </w:pPr>
      <w:r>
        <w:t xml:space="preserve">1. Sofern keine </w:t>
      </w:r>
      <w:r w:rsidR="009B5F83">
        <w:t>Wertpapier</w:t>
      </w:r>
      <w:r w:rsidR="00C64588">
        <w:t>-</w:t>
      </w:r>
      <w:r>
        <w:t>Darlehens- oder Pensionsgeschäfte getätigt werden sollen, ist folgende Formulierung zu verwenden:</w:t>
      </w:r>
    </w:p>
    <w:p w14:paraId="08B2F400" w14:textId="77777777" w:rsidR="00D0139A" w:rsidRDefault="00DB4812" w:rsidP="00D0139A">
      <w:pPr>
        <w:pStyle w:val="Bearb-Hinweis"/>
        <w:pBdr>
          <w:top w:val="single" w:sz="4" w:space="1" w:color="auto"/>
          <w:left w:val="single" w:sz="4" w:space="4" w:color="auto"/>
          <w:bottom w:val="single" w:sz="4" w:space="1" w:color="auto"/>
          <w:right w:val="single" w:sz="4" w:space="4" w:color="auto"/>
        </w:pBdr>
        <w:rPr>
          <w:b/>
        </w:rPr>
      </w:pPr>
      <w:r>
        <w:rPr>
          <w:b/>
        </w:rPr>
        <w:t>„</w:t>
      </w:r>
      <w:r w:rsidR="009B5F83">
        <w:rPr>
          <w:b/>
        </w:rPr>
        <w:t>Wertpapier</w:t>
      </w:r>
      <w:r w:rsidR="00C64588">
        <w:rPr>
          <w:b/>
        </w:rPr>
        <w:t>-</w:t>
      </w:r>
      <w:r>
        <w:rPr>
          <w:b/>
        </w:rPr>
        <w:t xml:space="preserve">Darlehens- </w:t>
      </w:r>
      <w:r w:rsidR="00450EBC">
        <w:rPr>
          <w:b/>
        </w:rPr>
        <w:t>und</w:t>
      </w:r>
      <w:r>
        <w:rPr>
          <w:b/>
        </w:rPr>
        <w:t xml:space="preserve"> Pensionsgeschäfte gemäß den §§ 13 und 14 der </w:t>
      </w:r>
      <w:r w:rsidR="00C64588">
        <w:rPr>
          <w:b/>
        </w:rPr>
        <w:t>AABen</w:t>
      </w:r>
      <w:r w:rsidR="00401391">
        <w:rPr>
          <w:b/>
        </w:rPr>
        <w:t xml:space="preserve"> </w:t>
      </w:r>
      <w:r>
        <w:rPr>
          <w:b/>
        </w:rPr>
        <w:t>werden nicht abgeschlossen.“</w:t>
      </w:r>
    </w:p>
    <w:p w14:paraId="54476A95" w14:textId="77777777" w:rsidR="00184574" w:rsidRDefault="00B637CA" w:rsidP="00D0139A">
      <w:pPr>
        <w:pStyle w:val="Bearb-Hinweis"/>
        <w:pBdr>
          <w:top w:val="single" w:sz="4" w:space="1" w:color="auto"/>
          <w:left w:val="single" w:sz="4" w:space="4" w:color="auto"/>
          <w:bottom w:val="single" w:sz="4" w:space="1" w:color="auto"/>
          <w:right w:val="single" w:sz="4" w:space="4" w:color="auto"/>
        </w:pBdr>
      </w:pPr>
      <w:r>
        <w:t>2</w:t>
      </w:r>
      <w:r w:rsidR="00DB4812">
        <w:t>. Des Weiteren können Grenzen für Wertpapier</w:t>
      </w:r>
      <w:r w:rsidR="00C64588">
        <w:t>-D</w:t>
      </w:r>
      <w:r w:rsidR="00DB4812">
        <w:t>arlehens- oder Pensionsgeschäfte vorgesehen werden, z. B. eine Begrenzung der Laufzeiten</w:t>
      </w:r>
      <w:r w:rsidR="00E13009">
        <w:t xml:space="preserve"> für Pensionsgeschäfte von </w:t>
      </w:r>
      <w:r w:rsidR="00D923CA">
        <w:t>unter</w:t>
      </w:r>
      <w:r w:rsidR="00E13009">
        <w:t xml:space="preserve"> 12 Monaten</w:t>
      </w:r>
      <w:r w:rsidR="00DB4812">
        <w:t xml:space="preserve"> oder </w:t>
      </w:r>
      <w:r w:rsidR="00E7593E" w:rsidRPr="008B28B6">
        <w:t>eine</w:t>
      </w:r>
      <w:r w:rsidR="00DB4812">
        <w:t xml:space="preserve"> </w:t>
      </w:r>
      <w:r w:rsidR="00D923CA">
        <w:t xml:space="preserve">Begrenzung des Geschäftsabschlusses mit bestimmten </w:t>
      </w:r>
      <w:r w:rsidR="00DB4812">
        <w:t xml:space="preserve">Kontrahenten. </w:t>
      </w:r>
    </w:p>
    <w:p w14:paraId="52D0B403" w14:textId="77777777" w:rsidR="00693BAB" w:rsidRDefault="00693BAB">
      <w:pPr>
        <w:pStyle w:val="Paragr-berschr"/>
      </w:pPr>
      <w:r>
        <w:lastRenderedPageBreak/>
        <w:t>Baustein 2</w:t>
      </w:r>
      <w:r>
        <w:br/>
        <w:t xml:space="preserve">Anlagegrenzen </w:t>
      </w:r>
    </w:p>
    <w:p w14:paraId="2B96C7C9" w14:textId="77777777" w:rsidR="00693BAB" w:rsidRPr="00885093" w:rsidRDefault="00693BAB" w:rsidP="00144F78">
      <w:pPr>
        <w:pStyle w:val="Bearb-Hinweis"/>
        <w:pBdr>
          <w:top w:val="single" w:sz="4" w:space="1" w:color="auto"/>
          <w:left w:val="single" w:sz="4" w:space="4" w:color="auto"/>
          <w:bottom w:val="single" w:sz="4" w:space="1" w:color="auto"/>
          <w:right w:val="single" w:sz="4" w:space="4" w:color="auto"/>
        </w:pBdr>
      </w:pPr>
      <w:r w:rsidRPr="00BA4612">
        <w:rPr>
          <w:u w:val="single"/>
        </w:rPr>
        <w:t>Bearbeiterhinweis</w:t>
      </w:r>
      <w:r w:rsidR="00231E64">
        <w:rPr>
          <w:u w:val="single"/>
        </w:rPr>
        <w:t xml:space="preserve"> (für nach dem 31.12.2018 aufgelegte Investmentfonds)</w:t>
      </w:r>
      <w:r w:rsidRPr="00885093">
        <w:t>:</w:t>
      </w:r>
    </w:p>
    <w:p w14:paraId="527B24B0" w14:textId="77777777" w:rsidR="00693BAB" w:rsidRDefault="00693BAB" w:rsidP="00144F78">
      <w:pPr>
        <w:pStyle w:val="Bearb-Hinweis"/>
        <w:pBdr>
          <w:top w:val="single" w:sz="4" w:space="1" w:color="auto"/>
          <w:left w:val="single" w:sz="4" w:space="4" w:color="auto"/>
          <w:bottom w:val="single" w:sz="4" w:space="1" w:color="auto"/>
          <w:right w:val="single" w:sz="4" w:space="4" w:color="auto"/>
        </w:pBdr>
      </w:pPr>
      <w:r w:rsidRPr="00885093">
        <w:t xml:space="preserve">1. Sofern Wertpapiere erworben werden dürfen, ist der </w:t>
      </w:r>
      <w:r w:rsidR="009F7674">
        <w:t xml:space="preserve">Anteil </w:t>
      </w:r>
      <w:r w:rsidRPr="00885093">
        <w:t xml:space="preserve">am </w:t>
      </w:r>
      <w:r w:rsidR="00B60284">
        <w:t>OGAW-</w:t>
      </w:r>
      <w:r w:rsidRPr="00885093">
        <w:t xml:space="preserve">Sondervermögen anzugeben, bzw. welche Art von Wertpapieren im </w:t>
      </w:r>
      <w:r w:rsidR="00B60284">
        <w:t>OGAW-</w:t>
      </w:r>
      <w:r w:rsidRPr="00885093">
        <w:t xml:space="preserve">Sondervermögen überwiegt. </w:t>
      </w:r>
    </w:p>
    <w:p w14:paraId="593B5664" w14:textId="77777777" w:rsidR="00BA27FE" w:rsidRPr="00AF284E" w:rsidRDefault="00BA27FE" w:rsidP="00144F78">
      <w:pPr>
        <w:pStyle w:val="Bearb-Hinweis"/>
        <w:pBdr>
          <w:top w:val="single" w:sz="4" w:space="1" w:color="auto"/>
          <w:left w:val="single" w:sz="4" w:space="4" w:color="auto"/>
          <w:bottom w:val="single" w:sz="4" w:space="1" w:color="auto"/>
          <w:right w:val="single" w:sz="4" w:space="4" w:color="auto"/>
        </w:pBdr>
      </w:pPr>
      <w:r>
        <w:t>2. Sofern das OGAW-</w:t>
      </w:r>
      <w:r w:rsidRPr="0019149D">
        <w:t xml:space="preserve">Sondervermögen in steuerlicher Hinsicht als Aktienfonds i. S. d. § 2 Absatz 6 InvStG oder als Mischfonds i. S. d. § 2 Absatz 7 InvStG qualifizieren soll, sind die folgenden Anlagegrenzen aufzunehmen. Für Aktienfonds </w:t>
      </w:r>
      <w:r w:rsidRPr="00AF284E">
        <w:t>im steuerlichen Sinne muss im ersten Satz eine 50 %-Quote vorgesehen werden, für Mischfonds im steuerlichen Sinne eine 25 %-Quote. Es ist für die Quotenermittlung zulässig, auf den Wert (§ 2 Abs. 9a Satz 2 InvStG) oder auf das Aktivvermögen (§ 2 Abs. 6 und 7 InvStG) abzustellen. Nachfolgend sind beide Varianten dargestellt:</w:t>
      </w:r>
    </w:p>
    <w:p w14:paraId="546E2E17" w14:textId="77777777" w:rsidR="00BA27FE" w:rsidRPr="00AF284E" w:rsidRDefault="00BA27FE" w:rsidP="00144F78">
      <w:pPr>
        <w:pStyle w:val="Bearb-Hinweis"/>
        <w:pBdr>
          <w:top w:val="single" w:sz="4" w:space="1" w:color="auto"/>
          <w:left w:val="single" w:sz="4" w:space="4" w:color="auto"/>
          <w:bottom w:val="single" w:sz="4" w:space="1" w:color="auto"/>
          <w:right w:val="single" w:sz="4" w:space="4" w:color="auto"/>
        </w:pBdr>
        <w:rPr>
          <w:b/>
        </w:rPr>
      </w:pPr>
      <w:r w:rsidRPr="00AF284E">
        <w:rPr>
          <w:b/>
        </w:rPr>
        <w:t>„&lt;Mehr als 50 % / Mindestens 25 %&gt; des Wertes des OGAW-Sondervermögens werden in solche Kapitalbeteiligungen i. S. d. § 2 Absatz 8 Investmentsteuergesetz angelegt, die nach diesen Anlagebedingungen für das OGAW-Sondervermögen erworben werden können</w:t>
      </w:r>
      <w:r w:rsidRPr="00144F78">
        <w:rPr>
          <w:b/>
        </w:rPr>
        <w:t xml:space="preserve"> </w:t>
      </w:r>
      <w:r w:rsidRPr="00AF284E">
        <w:rPr>
          <w:b/>
        </w:rPr>
        <w:t>(&lt;Aktienfonds / Mischfonds&gt;)</w:t>
      </w:r>
      <w:r w:rsidR="00F23839">
        <w:rPr>
          <w:b/>
        </w:rPr>
        <w:t>.</w:t>
      </w:r>
      <w:r w:rsidRPr="00AF284E">
        <w:rPr>
          <w:b/>
        </w:rPr>
        <w:t xml:space="preserve"> Dabei können die tatsächlichen Kapitalbeteiligungsquoten von Ziel-Investmentfonds berücksichtigt werden.</w:t>
      </w:r>
      <w:r w:rsidR="00F23839">
        <w:rPr>
          <w:b/>
        </w:rPr>
        <w:t>“</w:t>
      </w:r>
      <w:r w:rsidRPr="00AF284E">
        <w:rPr>
          <w:rFonts w:ascii="Helv" w:hAnsi="Helv" w:cs="Helv"/>
          <w:b/>
          <w:bCs/>
          <w:color w:val="000000"/>
          <w:sz w:val="20"/>
        </w:rPr>
        <w:t xml:space="preserve"> </w:t>
      </w:r>
    </w:p>
    <w:p w14:paraId="21EB1A8C" w14:textId="77777777" w:rsidR="00B044AF" w:rsidRPr="00AF284E" w:rsidRDefault="00B044AF" w:rsidP="00144F78">
      <w:pPr>
        <w:pStyle w:val="Bearb-Hinweis"/>
        <w:pBdr>
          <w:top w:val="single" w:sz="4" w:space="1" w:color="auto"/>
          <w:left w:val="single" w:sz="4" w:space="4" w:color="auto"/>
          <w:bottom w:val="single" w:sz="4" w:space="1" w:color="auto"/>
          <w:right w:val="single" w:sz="4" w:space="4" w:color="auto"/>
        </w:pBdr>
      </w:pPr>
      <w:r w:rsidRPr="00AF284E">
        <w:t>Falls auf den Wert des Investmentfonds abgestellt wird, sollte darauf hin-gewiesen werden, dass Kredite von dem Anteil der Kapitalbeteiligungen anteilig abgezogen werden:</w:t>
      </w:r>
    </w:p>
    <w:p w14:paraId="53663FCE" w14:textId="77777777" w:rsidR="004B142E" w:rsidRPr="00AF284E" w:rsidRDefault="00B044AF" w:rsidP="00144F78">
      <w:pPr>
        <w:pStyle w:val="Bearb-Hinweis"/>
        <w:pBdr>
          <w:top w:val="single" w:sz="4" w:space="1" w:color="auto"/>
          <w:left w:val="single" w:sz="4" w:space="4" w:color="auto"/>
          <w:bottom w:val="single" w:sz="4" w:space="1" w:color="auto"/>
          <w:right w:val="single" w:sz="4" w:space="4" w:color="auto"/>
        </w:pBdr>
        <w:rPr>
          <w:b/>
        </w:rPr>
      </w:pPr>
      <w:r w:rsidRPr="00AF284E">
        <w:rPr>
          <w:b/>
        </w:rPr>
        <w:t>„</w:t>
      </w:r>
      <w:r w:rsidR="004B142E" w:rsidRPr="00AF284E">
        <w:rPr>
          <w:b/>
        </w:rPr>
        <w:t>Bei der Ermittlung des Umfangs des in Kapitalbeteiligungen angelegten Vermögens werden die Kredite entsprechend dem Anteil der Kapitalbeteiligungen am Wert aller Vermögensgegenstände</w:t>
      </w:r>
      <w:r w:rsidR="00231E64" w:rsidRPr="00AF284E">
        <w:rPr>
          <w:b/>
        </w:rPr>
        <w:t xml:space="preserve"> abgezogen.</w:t>
      </w:r>
      <w:r w:rsidR="009D278A" w:rsidRPr="00AF284E">
        <w:rPr>
          <w:b/>
        </w:rPr>
        <w:t>“</w:t>
      </w:r>
      <w:r w:rsidR="004B142E" w:rsidRPr="00AF284E">
        <w:rPr>
          <w:b/>
        </w:rPr>
        <w:t xml:space="preserve"> </w:t>
      </w:r>
    </w:p>
    <w:p w14:paraId="14AA9E9A" w14:textId="77777777" w:rsidR="00736BB0" w:rsidRPr="00AF284E" w:rsidRDefault="00736BB0" w:rsidP="00144F78">
      <w:pPr>
        <w:pStyle w:val="Bearb-Hinweis"/>
        <w:pBdr>
          <w:top w:val="single" w:sz="4" w:space="1" w:color="auto"/>
          <w:left w:val="single" w:sz="4" w:space="4" w:color="auto"/>
          <w:bottom w:val="single" w:sz="4" w:space="1" w:color="auto"/>
          <w:right w:val="single" w:sz="4" w:space="4" w:color="auto"/>
        </w:pBdr>
      </w:pPr>
      <w:r w:rsidRPr="00AF284E">
        <w:lastRenderedPageBreak/>
        <w:t>Alternativ kann folgende Formulierung genutzt werden, wenn nicht von der Möglichkeit Gebrauch gemacht werden soll, weiterhin auf den Wert des Fonds abzustellen:</w:t>
      </w:r>
    </w:p>
    <w:p w14:paraId="70932879" w14:textId="77777777" w:rsidR="00FD1B25" w:rsidRDefault="00BA27FE" w:rsidP="00FD1B25">
      <w:pPr>
        <w:pStyle w:val="Bearb-Hinweis"/>
        <w:pBdr>
          <w:top w:val="single" w:sz="4" w:space="1" w:color="auto"/>
          <w:left w:val="single" w:sz="4" w:space="4" w:color="auto"/>
          <w:bottom w:val="single" w:sz="4" w:space="1" w:color="auto"/>
          <w:right w:val="single" w:sz="4" w:space="4" w:color="auto"/>
        </w:pBdr>
        <w:rPr>
          <w:b/>
        </w:rPr>
      </w:pPr>
      <w:r w:rsidRPr="00AF284E">
        <w:rPr>
          <w:b/>
        </w:rPr>
        <w:t>„&lt;Mehr als 50 % / Mindestens 25 %&gt; des Aktivvermögens (die Höhe des Aktivvermögens bestimmt sich nach dem Wert der Vermögensgegenstände des Investmentfonds ohne Berücksichtigung von Verbindlichkeiten) des OGAW-Sondervermögens werden in solche Kapitalbeteiligungen i. S. d. § 2 Absatz 8 Investmentsteuergesetz angelegt, die nach diesen Anlagebedingungen für das OGAW-Sondervermögen erworben werden können (&lt;Aktienfonds / Mischfonds&gt;). Dabei können die tatsächlichen Kapitalbeteiligungsquoten von Ziel-Investmentfonds berücksichtigt werden.</w:t>
      </w:r>
      <w:r w:rsidR="00F23839">
        <w:rPr>
          <w:b/>
        </w:rPr>
        <w:t>“</w:t>
      </w:r>
    </w:p>
    <w:p w14:paraId="5884A271" w14:textId="77777777" w:rsidR="00FD1B25" w:rsidRDefault="00FD1B25" w:rsidP="00FD1B25">
      <w:pPr>
        <w:pStyle w:val="Bearb-Hinweis"/>
        <w:pBdr>
          <w:top w:val="single" w:sz="4" w:space="1" w:color="auto"/>
          <w:left w:val="single" w:sz="4" w:space="4" w:color="auto"/>
          <w:bottom w:val="single" w:sz="4" w:space="1" w:color="auto"/>
          <w:right w:val="single" w:sz="4" w:space="4" w:color="auto"/>
        </w:pBdr>
      </w:pPr>
      <w:r w:rsidRPr="00AF284E">
        <w:t xml:space="preserve">Die vorstehende Formulierung stellt die aus steuerlicher Sicht mindestens notwendige Anlagegrenze dar. </w:t>
      </w:r>
    </w:p>
    <w:p w14:paraId="7358A5E2" w14:textId="77777777" w:rsidR="00FD1B25" w:rsidRDefault="00FD1B25" w:rsidP="00FD1B25">
      <w:pPr>
        <w:pStyle w:val="Bearb-Hinweis"/>
        <w:pBdr>
          <w:top w:val="single" w:sz="4" w:space="1" w:color="auto"/>
          <w:left w:val="single" w:sz="4" w:space="4" w:color="auto"/>
          <w:bottom w:val="single" w:sz="4" w:space="1" w:color="auto"/>
          <w:right w:val="single" w:sz="4" w:space="4" w:color="auto"/>
        </w:pBdr>
      </w:pPr>
      <w:r>
        <w:t xml:space="preserve">Über die aus steuerlicher Sicht notwendige Formulierung hinaus können zusätzliche Anlagegrenzen vorgesehen werden (z.B. Festlegung </w:t>
      </w:r>
      <w:r w:rsidRPr="00B75AE4">
        <w:t>einer Aktienquote von</w:t>
      </w:r>
      <w:r>
        <w:t xml:space="preserve"> fortlaufend mehr als 50% zur Einstufung als Aktienfonds i.S.d. Fondskategorien-Richtlinie der BaFin). Es ist darauf zu achten, dass </w:t>
      </w:r>
      <w:r w:rsidRPr="001D20CE">
        <w:t xml:space="preserve">zusätzliche Anlagegrenzen </w:t>
      </w:r>
      <w:r>
        <w:t xml:space="preserve">stets als weitergehende Einschränkungen zu verstehen sind, um einen Widerspruch zu den steuerlichen Mindestgrenzen zu vermeiden. </w:t>
      </w:r>
    </w:p>
    <w:p w14:paraId="2AE0D154" w14:textId="77777777" w:rsidR="00144F78" w:rsidRDefault="003B0554" w:rsidP="00144F78">
      <w:pPr>
        <w:pStyle w:val="Bearb-Hinweis"/>
        <w:pBdr>
          <w:top w:val="single" w:sz="4" w:space="1" w:color="auto"/>
          <w:left w:val="single" w:sz="4" w:space="4" w:color="auto"/>
          <w:bottom w:val="single" w:sz="4" w:space="1" w:color="auto"/>
          <w:right w:val="single" w:sz="4" w:space="4" w:color="auto"/>
        </w:pBdr>
      </w:pPr>
      <w:r>
        <w:t>3</w:t>
      </w:r>
      <w:r w:rsidR="00481D24">
        <w:t>.</w:t>
      </w:r>
      <w:r w:rsidR="00693BAB" w:rsidRPr="00885093">
        <w:t xml:space="preserve"> Sofern Pensionsgeschäfte mit Wertpapieren getätigt werden dürfen, ist zusätzlich folgende Wendung aufzunehmen:</w:t>
      </w:r>
    </w:p>
    <w:p w14:paraId="0DCB51AB" w14:textId="77777777" w:rsidR="0001765A" w:rsidRPr="001D0DA0" w:rsidRDefault="00693BAB" w:rsidP="00144F78">
      <w:pPr>
        <w:pStyle w:val="Bearb-Hinweis"/>
        <w:pBdr>
          <w:top w:val="single" w:sz="4" w:space="1" w:color="auto"/>
          <w:left w:val="single" w:sz="4" w:space="4" w:color="auto"/>
          <w:bottom w:val="single" w:sz="4" w:space="1" w:color="auto"/>
          <w:right w:val="single" w:sz="4" w:space="4" w:color="auto"/>
        </w:pBdr>
        <w:rPr>
          <w:b/>
        </w:rPr>
      </w:pPr>
      <w:r w:rsidRPr="001D0DA0">
        <w:rPr>
          <w:b/>
        </w:rPr>
        <w:t xml:space="preserve">„Die in Pension genommenen Wertpapiere sind auf die Anlagegrenzen des § </w:t>
      </w:r>
      <w:r w:rsidR="00594EC2" w:rsidRPr="001D0DA0">
        <w:rPr>
          <w:b/>
        </w:rPr>
        <w:t>206 Absatz 1 bis 3</w:t>
      </w:r>
      <w:r w:rsidRPr="001D0DA0">
        <w:rPr>
          <w:b/>
        </w:rPr>
        <w:t xml:space="preserve"> </w:t>
      </w:r>
      <w:r w:rsidR="00594EC2" w:rsidRPr="001D0DA0">
        <w:rPr>
          <w:b/>
        </w:rPr>
        <w:t xml:space="preserve">KAGB </w:t>
      </w:r>
      <w:r w:rsidRPr="001D0DA0">
        <w:rPr>
          <w:b/>
        </w:rPr>
        <w:t>anzurechnen.“</w:t>
      </w:r>
    </w:p>
    <w:p w14:paraId="4C08D1E8" w14:textId="77777777" w:rsidR="00D0139A" w:rsidRDefault="003B0554" w:rsidP="00144F78">
      <w:pPr>
        <w:pStyle w:val="Bearb-Hinweis"/>
        <w:pBdr>
          <w:top w:val="single" w:sz="4" w:space="1" w:color="auto"/>
          <w:left w:val="single" w:sz="4" w:space="4" w:color="auto"/>
          <w:bottom w:val="single" w:sz="4" w:space="1" w:color="auto"/>
          <w:right w:val="single" w:sz="4" w:space="4" w:color="auto"/>
        </w:pBdr>
      </w:pPr>
      <w:r>
        <w:t>4</w:t>
      </w:r>
      <w:r w:rsidR="00693BAB" w:rsidRPr="00885093">
        <w:t xml:space="preserve">. Sofern der Erwerb von Geldmarktinstrumenten vorgesehen ist, </w:t>
      </w:r>
      <w:r w:rsidR="00C923EA">
        <w:t xml:space="preserve">ist </w:t>
      </w:r>
      <w:r w:rsidR="00693BAB" w:rsidRPr="00885093">
        <w:t xml:space="preserve">der Anteil der Geldmarktinstrumente am </w:t>
      </w:r>
      <w:r w:rsidR="00B60284">
        <w:t>OGAW-</w:t>
      </w:r>
      <w:r w:rsidR="00693BAB" w:rsidRPr="00885093">
        <w:t>Sondervermögen</w:t>
      </w:r>
      <w:r w:rsidR="00C923EA">
        <w:t xml:space="preserve"> anzugeben</w:t>
      </w:r>
      <w:r w:rsidR="00693BAB" w:rsidRPr="00885093">
        <w:t xml:space="preserve">, </w:t>
      </w:r>
      <w:r w:rsidR="00693BAB" w:rsidRPr="00885093">
        <w:lastRenderedPageBreak/>
        <w:t xml:space="preserve">bzw. ob ggf. von den Möglichkeiten des § 6 der </w:t>
      </w:r>
      <w:r w:rsidR="00C64588">
        <w:t>AABen</w:t>
      </w:r>
      <w:r w:rsidR="00693BAB" w:rsidRPr="00885093">
        <w:t xml:space="preserve"> nur eingeschränkt Gebrauch gemacht werden soll. Die Geldmarktinstrumente müssen nicht an einer Börse zum </w:t>
      </w:r>
      <w:r w:rsidR="00262735">
        <w:t>Handel</w:t>
      </w:r>
      <w:r w:rsidR="00693BAB" w:rsidRPr="00885093">
        <w:t xml:space="preserve"> zugelassen oder in einen organisierten Markt einbezogen sein. Allerdings entbindet der fest umrissene Kreis der Aussteller die Kapital</w:t>
      </w:r>
      <w:r w:rsidR="00594EC2">
        <w:t>verwaltungs</w:t>
      </w:r>
      <w:r w:rsidR="00693BAB" w:rsidRPr="00885093">
        <w:t>gesellschaft nicht</w:t>
      </w:r>
      <w:r w:rsidR="0001765A">
        <w:t xml:space="preserve"> davon</w:t>
      </w:r>
      <w:r w:rsidR="00693BAB" w:rsidRPr="00885093">
        <w:t>, bei der konkreten Anlageentscheidung zu prüfen, ob für das jeweilige Instrument ausreichender Einlagen- und Anlegerschutz besteht</w:t>
      </w:r>
      <w:r w:rsidR="00262735">
        <w:t xml:space="preserve"> und zusätzlich die Kriterien des Art</w:t>
      </w:r>
      <w:r w:rsidR="00C64588">
        <w:t>ikel</w:t>
      </w:r>
      <w:r w:rsidR="00262735">
        <w:t xml:space="preserve"> 5 </w:t>
      </w:r>
      <w:r w:rsidR="00C926E4">
        <w:t>Absatz</w:t>
      </w:r>
      <w:r w:rsidR="00262735">
        <w:t xml:space="preserve"> 1 der Richtlinie 2007/16/E</w:t>
      </w:r>
      <w:r w:rsidR="00FB6CAF">
        <w:t>G</w:t>
      </w:r>
      <w:r w:rsidR="00262735">
        <w:t xml:space="preserve"> erfüllt sind</w:t>
      </w:r>
      <w:r w:rsidR="00693BAB" w:rsidRPr="00885093">
        <w:t xml:space="preserve">. </w:t>
      </w:r>
    </w:p>
    <w:p w14:paraId="09698162" w14:textId="77777777" w:rsidR="00D0139A" w:rsidRDefault="003B0554" w:rsidP="00144F78">
      <w:pPr>
        <w:pStyle w:val="Bearb-Hinweis"/>
        <w:pBdr>
          <w:top w:val="single" w:sz="4" w:space="1" w:color="auto"/>
          <w:left w:val="single" w:sz="4" w:space="4" w:color="auto"/>
          <w:bottom w:val="single" w:sz="4" w:space="1" w:color="auto"/>
          <w:right w:val="single" w:sz="4" w:space="4" w:color="auto"/>
        </w:pBdr>
      </w:pPr>
      <w:r>
        <w:t>5</w:t>
      </w:r>
      <w:r w:rsidR="005324A4">
        <w:t>.</w:t>
      </w:r>
      <w:r w:rsidR="00693BAB" w:rsidRPr="00885093">
        <w:t xml:space="preserve"> Sofern Pensionsgeschäfte mit Geldmarktinstrumenten getätigt werden dürfen, ist zusätzlich folgende Wendung aufzunehmen:</w:t>
      </w:r>
    </w:p>
    <w:p w14:paraId="2F9546BF" w14:textId="77777777" w:rsidR="00BE6456" w:rsidRDefault="00693BAB" w:rsidP="00144F78">
      <w:pPr>
        <w:pStyle w:val="Bearb-Hinweis"/>
        <w:pBdr>
          <w:top w:val="single" w:sz="4" w:space="1" w:color="auto"/>
          <w:left w:val="single" w:sz="4" w:space="4" w:color="auto"/>
          <w:bottom w:val="single" w:sz="4" w:space="1" w:color="auto"/>
          <w:right w:val="single" w:sz="4" w:space="4" w:color="auto"/>
        </w:pBdr>
        <w:rPr>
          <w:b/>
        </w:rPr>
      </w:pPr>
      <w:r w:rsidRPr="001D0DA0">
        <w:rPr>
          <w:b/>
        </w:rPr>
        <w:t xml:space="preserve">„Die in Pension genommenen Geldmarktinstrumente sind auf die Anlagegrenzen des § </w:t>
      </w:r>
      <w:r w:rsidR="00594EC2" w:rsidRPr="001D0DA0">
        <w:rPr>
          <w:b/>
        </w:rPr>
        <w:t xml:space="preserve">206 Absatz 1 bis 3 KAGB </w:t>
      </w:r>
      <w:r w:rsidRPr="001D0DA0">
        <w:rPr>
          <w:b/>
        </w:rPr>
        <w:t>anzurechnen.“</w:t>
      </w:r>
    </w:p>
    <w:p w14:paraId="0CC7E56E" w14:textId="77777777" w:rsidR="00BE6456" w:rsidRDefault="003B0554" w:rsidP="00144F78">
      <w:pPr>
        <w:pStyle w:val="Bearb-Hinweis"/>
        <w:pBdr>
          <w:top w:val="single" w:sz="4" w:space="1" w:color="auto"/>
          <w:left w:val="single" w:sz="4" w:space="4" w:color="auto"/>
          <w:bottom w:val="single" w:sz="4" w:space="1" w:color="auto"/>
          <w:right w:val="single" w:sz="4" w:space="4" w:color="auto"/>
        </w:pBdr>
      </w:pPr>
      <w:r>
        <w:t>6</w:t>
      </w:r>
      <w:r w:rsidR="004D3EFF">
        <w:t xml:space="preserve">. </w:t>
      </w:r>
      <w:r w:rsidR="004D3EFF" w:rsidRPr="00885093">
        <w:t xml:space="preserve">Sofern </w:t>
      </w:r>
      <w:r w:rsidR="004D3EFF">
        <w:t>das OGAW-Sondervermögen</w:t>
      </w:r>
      <w:r w:rsidR="004D3EFF" w:rsidRPr="00885093">
        <w:t xml:space="preserve"> von der Möglichkeit gemäß § 11 </w:t>
      </w:r>
      <w:r w:rsidR="004D3EFF">
        <w:t>Absatz 2</w:t>
      </w:r>
      <w:r w:rsidR="004D3EFF" w:rsidRPr="00885093">
        <w:t xml:space="preserve"> der </w:t>
      </w:r>
      <w:r w:rsidR="004D3EFF">
        <w:t xml:space="preserve">AABen </w:t>
      </w:r>
      <w:r w:rsidR="004D3EFF" w:rsidRPr="00885093">
        <w:t>G</w:t>
      </w:r>
      <w:r w:rsidR="004D3EFF">
        <w:t>ebrauch machen will, d. h. Wert</w:t>
      </w:r>
      <w:r w:rsidR="004D3EFF" w:rsidRPr="00885093">
        <w:t xml:space="preserve">papiere und Geldmarktinstrumente </w:t>
      </w:r>
      <w:r w:rsidR="004D3EFF">
        <w:t>desselben Emittenten bis zu 10</w:t>
      </w:r>
      <w:r w:rsidR="004D3EFF" w:rsidRPr="00885093">
        <w:t xml:space="preserve"> % </w:t>
      </w:r>
      <w:r w:rsidR="004D3EFF">
        <w:t xml:space="preserve">des Wertes des OGAW-Sondervermögens </w:t>
      </w:r>
      <w:r w:rsidR="004D3EFF" w:rsidRPr="00885093">
        <w:t>erwerben will, könnte dies wie nachfolgend vorgeschlagen geregelt werden</w:t>
      </w:r>
      <w:r w:rsidR="004D3EFF">
        <w:t>.</w:t>
      </w:r>
    </w:p>
    <w:p w14:paraId="6BB970D8" w14:textId="77777777" w:rsidR="00BE6456" w:rsidRDefault="004D3EFF" w:rsidP="00144F78">
      <w:pPr>
        <w:pStyle w:val="Bearb-Hinweis"/>
        <w:pBdr>
          <w:top w:val="single" w:sz="4" w:space="1" w:color="auto"/>
          <w:left w:val="single" w:sz="4" w:space="4" w:color="auto"/>
          <w:bottom w:val="single" w:sz="4" w:space="1" w:color="auto"/>
          <w:right w:val="single" w:sz="4" w:space="4" w:color="auto"/>
        </w:pBdr>
        <w:rPr>
          <w:b/>
        </w:rPr>
      </w:pPr>
      <w:r w:rsidRPr="001D0DA0">
        <w:rPr>
          <w:b/>
        </w:rPr>
        <w:t xml:space="preserve">„Wertpapiere und Geldmarktinstrumente desselben Emittenten dürfen </w:t>
      </w:r>
      <w:r w:rsidR="00870811" w:rsidRPr="00BE6456">
        <w:rPr>
          <w:b/>
        </w:rPr>
        <w:t xml:space="preserve">über </w:t>
      </w:r>
      <w:r w:rsidR="006E7B29" w:rsidRPr="00BE6456">
        <w:rPr>
          <w:b/>
        </w:rPr>
        <w:t xml:space="preserve">5 </w:t>
      </w:r>
      <w:r w:rsidR="00014C97" w:rsidRPr="00BE6456">
        <w:rPr>
          <w:b/>
        </w:rPr>
        <w:t xml:space="preserve">Prozent </w:t>
      </w:r>
      <w:r w:rsidR="00870811" w:rsidRPr="00BE6456">
        <w:rPr>
          <w:b/>
        </w:rPr>
        <w:t>hinaus</w:t>
      </w:r>
      <w:r w:rsidR="00870811">
        <w:rPr>
          <w:b/>
        </w:rPr>
        <w:t xml:space="preserve"> </w:t>
      </w:r>
      <w:r w:rsidRPr="001D0DA0">
        <w:rPr>
          <w:b/>
        </w:rPr>
        <w:t>bis zu 10 Prozent des Wertes des OGAW-Sondervermögens erworben werden</w:t>
      </w:r>
      <w:r w:rsidR="00870811" w:rsidRPr="00BE6456">
        <w:rPr>
          <w:b/>
        </w:rPr>
        <w:t>,</w:t>
      </w:r>
      <w:r w:rsidRPr="00BE6456">
        <w:rPr>
          <w:b/>
        </w:rPr>
        <w:t xml:space="preserve"> </w:t>
      </w:r>
      <w:r w:rsidR="00870811" w:rsidRPr="00BE6456">
        <w:rPr>
          <w:b/>
        </w:rPr>
        <w:t>wenn</w:t>
      </w:r>
      <w:r w:rsidRPr="001D0DA0">
        <w:rPr>
          <w:b/>
        </w:rPr>
        <w:t xml:space="preserve"> der Gesamtwert der Wertpapiere und Geldmarktinstrumente dieser Emittenten 40 Prozent des Wertes des OGAW-Sondervermögens nicht über</w:t>
      </w:r>
      <w:r w:rsidR="001D0DA0">
        <w:rPr>
          <w:b/>
        </w:rPr>
        <w:t>steig</w:t>
      </w:r>
      <w:r w:rsidR="00870811" w:rsidRPr="00BE6456">
        <w:rPr>
          <w:b/>
        </w:rPr>
        <w:t>t</w:t>
      </w:r>
      <w:r w:rsidRPr="001D0DA0">
        <w:rPr>
          <w:b/>
        </w:rPr>
        <w:t>.“</w:t>
      </w:r>
    </w:p>
    <w:p w14:paraId="442AFE09" w14:textId="77777777" w:rsidR="00184574" w:rsidRDefault="003B0554" w:rsidP="00144F78">
      <w:pPr>
        <w:pStyle w:val="Bearb-Hinweis"/>
        <w:pBdr>
          <w:top w:val="single" w:sz="4" w:space="1" w:color="auto"/>
          <w:left w:val="single" w:sz="4" w:space="4" w:color="auto"/>
          <w:bottom w:val="single" w:sz="4" w:space="1" w:color="auto"/>
          <w:right w:val="single" w:sz="4" w:space="4" w:color="auto"/>
        </w:pBdr>
      </w:pPr>
      <w:r>
        <w:t>7</w:t>
      </w:r>
      <w:r w:rsidR="00693BAB" w:rsidRPr="00885093">
        <w:t xml:space="preserve">. </w:t>
      </w:r>
      <w:r w:rsidR="00693BAB" w:rsidRPr="0019149D">
        <w:t xml:space="preserve">Sofern </w:t>
      </w:r>
      <w:r w:rsidR="004D3EFF" w:rsidRPr="0019149D">
        <w:t>das OGAW-Sondervermögen</w:t>
      </w:r>
      <w:r w:rsidR="00693BAB" w:rsidRPr="0019149D">
        <w:t xml:space="preserve"> von der Möglichkeit gemäß § 11 </w:t>
      </w:r>
      <w:r w:rsidR="00C926E4" w:rsidRPr="0019149D">
        <w:t>Absatz</w:t>
      </w:r>
      <w:r w:rsidR="00693BAB" w:rsidRPr="0019149D">
        <w:t> </w:t>
      </w:r>
      <w:r w:rsidR="00F73023" w:rsidRPr="0019149D">
        <w:t>5</w:t>
      </w:r>
      <w:r w:rsidR="00693BAB" w:rsidRPr="0019149D">
        <w:t xml:space="preserve"> der </w:t>
      </w:r>
      <w:r w:rsidR="00C64588" w:rsidRPr="0019149D">
        <w:t>AABen</w:t>
      </w:r>
      <w:r w:rsidR="00D0139A" w:rsidRPr="0019149D">
        <w:t xml:space="preserve"> </w:t>
      </w:r>
      <w:r w:rsidR="00693BAB" w:rsidRPr="0019149D">
        <w:t>G</w:t>
      </w:r>
      <w:r w:rsidR="00547AFA" w:rsidRPr="0019149D">
        <w:t>ebrauch machen will, d. h. Wert</w:t>
      </w:r>
      <w:r w:rsidR="00693BAB" w:rsidRPr="0019149D">
        <w:t xml:space="preserve">papiere und Geldmarktinstrumente öffentlicher </w:t>
      </w:r>
      <w:r w:rsidR="00133993" w:rsidRPr="0019149D">
        <w:t>Emittenten</w:t>
      </w:r>
      <w:r w:rsidR="00693BAB" w:rsidRPr="0019149D">
        <w:t xml:space="preserve"> über</w:t>
      </w:r>
      <w:r w:rsidR="00693BAB" w:rsidRPr="00885093">
        <w:t xml:space="preserve"> 35 % </w:t>
      </w:r>
      <w:r w:rsidR="00C64588">
        <w:t xml:space="preserve">des Wertes des OGAW-Sondervermögens </w:t>
      </w:r>
      <w:r w:rsidR="00693BAB" w:rsidRPr="00885093">
        <w:t>erwerben will, könnte dies wie nachfolgend vorgeschlagen geregelt werden.</w:t>
      </w:r>
      <w:r w:rsidR="00184574">
        <w:t xml:space="preserve"> </w:t>
      </w:r>
    </w:p>
    <w:p w14:paraId="40608AF1" w14:textId="77777777" w:rsidR="00184574" w:rsidRDefault="00693BAB" w:rsidP="00144F78">
      <w:pPr>
        <w:pStyle w:val="Bearb-Hinweis"/>
        <w:pBdr>
          <w:top w:val="single" w:sz="4" w:space="1" w:color="auto"/>
          <w:left w:val="single" w:sz="4" w:space="4" w:color="auto"/>
          <w:bottom w:val="single" w:sz="4" w:space="1" w:color="auto"/>
          <w:right w:val="single" w:sz="4" w:space="4" w:color="auto"/>
        </w:pBdr>
      </w:pPr>
      <w:r w:rsidRPr="00885093">
        <w:lastRenderedPageBreak/>
        <w:t xml:space="preserve">Hierbei sind die in </w:t>
      </w:r>
      <w:r w:rsidRPr="00BC03D7">
        <w:t xml:space="preserve">Frage kommenden </w:t>
      </w:r>
      <w:r w:rsidR="00133993" w:rsidRPr="00BC03D7">
        <w:t>Emittenten</w:t>
      </w:r>
      <w:r w:rsidRPr="00BC03D7">
        <w:t xml:space="preserve"> konkret zu benennen; </w:t>
      </w:r>
      <w:r w:rsidR="00944F1B" w:rsidRPr="00BC03D7">
        <w:t>als</w:t>
      </w:r>
      <w:r w:rsidRPr="00BC03D7">
        <w:t xml:space="preserve"> Bundesländer: z. B. Hessen, </w:t>
      </w:r>
      <w:r w:rsidR="00547AFA" w:rsidRPr="00BC03D7">
        <w:t>Bayern; die Europäi</w:t>
      </w:r>
      <w:r w:rsidRPr="00BC03D7">
        <w:t xml:space="preserve">sche </w:t>
      </w:r>
      <w:r w:rsidR="00233384" w:rsidRPr="00BC03D7">
        <w:t>Union</w:t>
      </w:r>
      <w:r w:rsidRPr="00BC03D7">
        <w:t xml:space="preserve">; </w:t>
      </w:r>
      <w:r w:rsidR="00944F1B" w:rsidRPr="00BC03D7">
        <w:t>als</w:t>
      </w:r>
      <w:r w:rsidR="00547AFA" w:rsidRPr="00BC03D7">
        <w:t xml:space="preserve"> Mitgliedstaaten der Europäi</w:t>
      </w:r>
      <w:r w:rsidRPr="00BC03D7">
        <w:t>schen Union: z. B. Frankre</w:t>
      </w:r>
      <w:r w:rsidR="00547AFA" w:rsidRPr="00BC03D7">
        <w:t xml:space="preserve">ich; </w:t>
      </w:r>
      <w:r w:rsidR="00944F1B" w:rsidRPr="00BC03D7">
        <w:t>als</w:t>
      </w:r>
      <w:r w:rsidR="00547AFA" w:rsidRPr="00BC03D7">
        <w:t xml:space="preserve"> Vertragsstaaten des Ab</w:t>
      </w:r>
      <w:r w:rsidRPr="00BC03D7">
        <w:t>kommens über den Euro</w:t>
      </w:r>
      <w:r w:rsidR="00547AFA" w:rsidRPr="00BC03D7">
        <w:t>päi</w:t>
      </w:r>
      <w:r w:rsidRPr="00BC03D7">
        <w:t xml:space="preserve">schen Wirtschaftsraum: z. B. Norwegen; </w:t>
      </w:r>
      <w:r w:rsidR="00944F1B" w:rsidRPr="00BC03D7">
        <w:t>als</w:t>
      </w:r>
      <w:r w:rsidRPr="00BC03D7">
        <w:t xml:space="preserve"> Mitgliedstaaten der OECD: z. B. Kanada, Schweiz (vgl. die anliegende Liste der zulässigen Aussteller). Für jeden Fonds ist zu entscheiden, ob eine Anlage in Wertpapieren </w:t>
      </w:r>
      <w:r w:rsidR="00E627B9" w:rsidRPr="00BC03D7">
        <w:t xml:space="preserve">aller Staaten und sonstigen in § </w:t>
      </w:r>
      <w:r w:rsidR="00233384" w:rsidRPr="00BC03D7">
        <w:t>206 Absatz 2 KAGB</w:t>
      </w:r>
      <w:r w:rsidR="00E627B9" w:rsidRPr="00BC03D7">
        <w:t xml:space="preserve"> genannten Stellen</w:t>
      </w:r>
      <w:r w:rsidRPr="00BC03D7">
        <w:t xml:space="preserve"> möglich sei</w:t>
      </w:r>
      <w:r w:rsidR="00547AFA" w:rsidRPr="00BC03D7">
        <w:t>n soll, oder ob man sich auf be</w:t>
      </w:r>
      <w:r w:rsidRPr="00BC03D7">
        <w:t xml:space="preserve">stimmte einzelne öffentliche </w:t>
      </w:r>
      <w:r w:rsidR="00133993" w:rsidRPr="00BC03D7">
        <w:t>Emittenten</w:t>
      </w:r>
      <w:r w:rsidRPr="00BC03D7">
        <w:t xml:space="preserve"> beschränkt.</w:t>
      </w:r>
    </w:p>
    <w:p w14:paraId="52BF1A10" w14:textId="77777777" w:rsidR="00184574" w:rsidRDefault="00693BAB" w:rsidP="00BC2105">
      <w:pPr>
        <w:pStyle w:val="Bearb-Hinweis"/>
        <w:pBdr>
          <w:top w:val="single" w:sz="4" w:space="1" w:color="auto"/>
          <w:left w:val="single" w:sz="4" w:space="4" w:color="auto"/>
          <w:bottom w:val="single" w:sz="4" w:space="1" w:color="auto"/>
          <w:right w:val="single" w:sz="4" w:space="4" w:color="auto"/>
        </w:pBdr>
      </w:pPr>
      <w:r w:rsidRPr="00BC03D7">
        <w:rPr>
          <w:b/>
        </w:rPr>
        <w:t xml:space="preserve">„Die Gesellschaft darf in Wertpapiere und Geldmarktinstrumente folgender </w:t>
      </w:r>
      <w:r w:rsidR="00133993" w:rsidRPr="00BC03D7">
        <w:rPr>
          <w:b/>
        </w:rPr>
        <w:t>Emittenten</w:t>
      </w:r>
    </w:p>
    <w:p w14:paraId="0857C1D7" w14:textId="77777777" w:rsidR="00184574" w:rsidRDefault="00693BAB" w:rsidP="00BC2105">
      <w:pPr>
        <w:pStyle w:val="Bearb-Hinweis"/>
        <w:pBdr>
          <w:top w:val="single" w:sz="4" w:space="1" w:color="auto"/>
          <w:left w:val="single" w:sz="4" w:space="4" w:color="auto"/>
          <w:bottom w:val="single" w:sz="4" w:space="1" w:color="auto"/>
          <w:right w:val="single" w:sz="4" w:space="4" w:color="auto"/>
        </w:pBdr>
        <w:rPr>
          <w:b/>
        </w:rPr>
      </w:pPr>
      <w:r w:rsidRPr="001D0DA0">
        <w:rPr>
          <w:b/>
        </w:rPr>
        <w:t>Bundesrepublik Deutschland</w:t>
      </w:r>
    </w:p>
    <w:p w14:paraId="29B40968" w14:textId="77777777" w:rsidR="00184574" w:rsidRDefault="00693BAB" w:rsidP="00BC2105">
      <w:pPr>
        <w:pStyle w:val="Bearb-Hinweis"/>
        <w:pBdr>
          <w:top w:val="single" w:sz="4" w:space="1" w:color="auto"/>
          <w:left w:val="single" w:sz="4" w:space="4" w:color="auto"/>
          <w:bottom w:val="single" w:sz="4" w:space="1" w:color="auto"/>
          <w:right w:val="single" w:sz="4" w:space="4" w:color="auto"/>
        </w:pBdr>
        <w:rPr>
          <w:b/>
        </w:rPr>
      </w:pPr>
      <w:r w:rsidRPr="001D0DA0">
        <w:rPr>
          <w:b/>
        </w:rPr>
        <w:t>...............................................</w:t>
      </w:r>
    </w:p>
    <w:p w14:paraId="7AD9AC60" w14:textId="77777777" w:rsidR="00184574" w:rsidRDefault="00693BAB" w:rsidP="00BC2105">
      <w:pPr>
        <w:pStyle w:val="Bearb-Hinweis"/>
        <w:pBdr>
          <w:top w:val="single" w:sz="4" w:space="1" w:color="auto"/>
          <w:left w:val="single" w:sz="4" w:space="4" w:color="auto"/>
          <w:bottom w:val="single" w:sz="4" w:space="1" w:color="auto"/>
          <w:right w:val="single" w:sz="4" w:space="4" w:color="auto"/>
        </w:pBdr>
        <w:rPr>
          <w:b/>
        </w:rPr>
      </w:pPr>
      <w:r w:rsidRPr="001D0DA0">
        <w:rPr>
          <w:b/>
        </w:rPr>
        <w:t>...............................................</w:t>
      </w:r>
    </w:p>
    <w:p w14:paraId="0BB6D7AA" w14:textId="77777777" w:rsidR="00184574" w:rsidRDefault="00693BAB" w:rsidP="00BC2105">
      <w:pPr>
        <w:pStyle w:val="Bearb-Hinweis"/>
        <w:pBdr>
          <w:top w:val="single" w:sz="4" w:space="1" w:color="auto"/>
          <w:left w:val="single" w:sz="4" w:space="4" w:color="auto"/>
          <w:bottom w:val="single" w:sz="4" w:space="1" w:color="auto"/>
          <w:right w:val="single" w:sz="4" w:space="4" w:color="auto"/>
        </w:pBdr>
        <w:rPr>
          <w:b/>
        </w:rPr>
      </w:pPr>
      <w:r w:rsidRPr="001D0DA0">
        <w:rPr>
          <w:b/>
        </w:rPr>
        <w:t xml:space="preserve">mehr als 35 % des Wertes des </w:t>
      </w:r>
      <w:r w:rsidR="00B60284" w:rsidRPr="001D0DA0">
        <w:rPr>
          <w:b/>
        </w:rPr>
        <w:t>OGAW-</w:t>
      </w:r>
      <w:r w:rsidRPr="001D0DA0">
        <w:rPr>
          <w:b/>
        </w:rPr>
        <w:t>Sondervermögens anlegen.“</w:t>
      </w:r>
    </w:p>
    <w:p w14:paraId="007C40BF" w14:textId="77777777" w:rsidR="00184574" w:rsidRDefault="00693BAB" w:rsidP="00144F78">
      <w:pPr>
        <w:pStyle w:val="Bearb-Hinweis"/>
        <w:pBdr>
          <w:top w:val="single" w:sz="4" w:space="1" w:color="auto"/>
          <w:left w:val="single" w:sz="4" w:space="4" w:color="auto"/>
          <w:bottom w:val="single" w:sz="4" w:space="1" w:color="auto"/>
          <w:right w:val="single" w:sz="4" w:space="4" w:color="auto"/>
        </w:pBdr>
        <w:rPr>
          <w:b/>
        </w:rPr>
      </w:pPr>
      <w:r w:rsidRPr="00885093">
        <w:t xml:space="preserve">Sofern die </w:t>
      </w:r>
      <w:r w:rsidR="00022E96">
        <w:t>Anlage</w:t>
      </w:r>
      <w:r w:rsidRPr="00885093">
        <w:t xml:space="preserve">bedingungen die Anlage von mehr als 35 % des Wertes des </w:t>
      </w:r>
      <w:r w:rsidR="00B60284">
        <w:t>OGAW-</w:t>
      </w:r>
      <w:r w:rsidRPr="00885093">
        <w:t>Sondervermögens in Wertpapiere und Geldmarktinstrumente eines der in § </w:t>
      </w:r>
      <w:r w:rsidR="00022E96">
        <w:t>206 Absatz 2 Satz 1 KAGB</w:t>
      </w:r>
      <w:r w:rsidRPr="00885093">
        <w:t xml:space="preserve"> </w:t>
      </w:r>
      <w:r w:rsidRPr="0080236B">
        <w:t xml:space="preserve">genannten </w:t>
      </w:r>
      <w:r w:rsidR="00133993" w:rsidRPr="0080236B">
        <w:t>Emittenten</w:t>
      </w:r>
      <w:r w:rsidRPr="0080236B">
        <w:t xml:space="preserve"> vorsehen, muss jede schriftliche Werbung für den Erwerb von Anteilen des </w:t>
      </w:r>
      <w:r w:rsidR="00B60284" w:rsidRPr="0080236B">
        <w:t>OGAW-</w:t>
      </w:r>
      <w:r w:rsidRPr="0080236B">
        <w:t>Sond</w:t>
      </w:r>
      <w:r w:rsidR="00547AFA" w:rsidRPr="0080236B">
        <w:t xml:space="preserve">ervermögens diese </w:t>
      </w:r>
      <w:r w:rsidR="00133993" w:rsidRPr="0080236B">
        <w:t>Emittenten</w:t>
      </w:r>
      <w:r w:rsidR="00547AFA" w:rsidRPr="0080236B">
        <w:t xml:space="preserve"> be</w:t>
      </w:r>
      <w:r w:rsidRPr="0080236B">
        <w:t>nennen. Zwar</w:t>
      </w:r>
      <w:r w:rsidRPr="00885093">
        <w:t xml:space="preserve"> bezieht sich § </w:t>
      </w:r>
      <w:r w:rsidR="00097B3F">
        <w:t>302 Absatz 3 KAGB</w:t>
      </w:r>
      <w:r w:rsidRPr="00885093">
        <w:t xml:space="preserve"> nur auf Schuldverschreibungen. Hierbei handelt es sich jedoch um ein redaktionelles Versehen.</w:t>
      </w:r>
    </w:p>
    <w:p w14:paraId="39CC8467" w14:textId="77777777" w:rsidR="00184574" w:rsidRDefault="003B0554" w:rsidP="00144F78">
      <w:pPr>
        <w:pStyle w:val="Bearb-Hinweis"/>
        <w:pBdr>
          <w:top w:val="single" w:sz="4" w:space="1" w:color="auto"/>
          <w:left w:val="single" w:sz="4" w:space="4" w:color="auto"/>
          <w:bottom w:val="single" w:sz="4" w:space="1" w:color="auto"/>
          <w:right w:val="single" w:sz="4" w:space="4" w:color="auto"/>
        </w:pBdr>
        <w:rPr>
          <w:b/>
        </w:rPr>
      </w:pPr>
      <w:r>
        <w:t>8</w:t>
      </w:r>
      <w:r w:rsidR="00693BAB" w:rsidRPr="00885093">
        <w:t xml:space="preserve">. Sofern Bankguthaben gehalten werden dürfen, ist der Anteil am </w:t>
      </w:r>
      <w:r w:rsidR="00B60284">
        <w:t>OGAW-</w:t>
      </w:r>
      <w:r w:rsidR="00693BAB" w:rsidRPr="00885093">
        <w:t>Sondervermögen anzugeben. Sofern z. B. für die Anlage in Bankguthaben eine Grenze vorgesehen ist und die Bankguthaben nur auf Fondswährung lauten dürfen, kann der nachstehende Textvorschlag verwendet werden.</w:t>
      </w:r>
    </w:p>
    <w:p w14:paraId="760032EA" w14:textId="77777777" w:rsidR="00EA397C" w:rsidRDefault="00693BAB" w:rsidP="00144F78">
      <w:pPr>
        <w:pStyle w:val="Bearb-Hinweis"/>
        <w:pBdr>
          <w:top w:val="single" w:sz="4" w:space="1" w:color="auto"/>
          <w:left w:val="single" w:sz="4" w:space="4" w:color="auto"/>
          <w:bottom w:val="single" w:sz="4" w:space="1" w:color="auto"/>
          <w:right w:val="single" w:sz="4" w:space="4" w:color="auto"/>
        </w:pBdr>
        <w:rPr>
          <w:b/>
        </w:rPr>
      </w:pPr>
      <w:r w:rsidRPr="001D0DA0">
        <w:rPr>
          <w:b/>
        </w:rPr>
        <w:lastRenderedPageBreak/>
        <w:t xml:space="preserve">„Bis zu </w:t>
      </w:r>
      <w:r w:rsidRPr="008B1E83">
        <w:rPr>
          <w:b/>
        </w:rPr>
        <w:t>&lt;...</w:t>
      </w:r>
      <w:r w:rsidR="001903AE" w:rsidRPr="008B1E83">
        <w:rPr>
          <w:b/>
        </w:rPr>
        <w:t xml:space="preserve"> Prozent</w:t>
      </w:r>
      <w:r w:rsidRPr="001D0DA0">
        <w:rPr>
          <w:b/>
        </w:rPr>
        <w:t xml:space="preserve">&gt; des Wertes des </w:t>
      </w:r>
      <w:r w:rsidR="00B60284" w:rsidRPr="001D0DA0">
        <w:rPr>
          <w:b/>
        </w:rPr>
        <w:t>OGAW-</w:t>
      </w:r>
      <w:r w:rsidRPr="001D0DA0">
        <w:rPr>
          <w:b/>
        </w:rPr>
        <w:t xml:space="preserve">Sondervermögens dürfen in Bankguthaben nach Maßgabe des § 7 Satz 1 der </w:t>
      </w:r>
      <w:r w:rsidR="00C64588" w:rsidRPr="001D0DA0">
        <w:rPr>
          <w:b/>
        </w:rPr>
        <w:t xml:space="preserve">AABen </w:t>
      </w:r>
      <w:r w:rsidRPr="001D0DA0">
        <w:rPr>
          <w:b/>
        </w:rPr>
        <w:t xml:space="preserve">gehalten werden. Die Bankguthaben dürfen abweichend von § 7 Satz </w:t>
      </w:r>
      <w:r w:rsidR="009C5BFF" w:rsidRPr="001D0DA0">
        <w:rPr>
          <w:b/>
        </w:rPr>
        <w:t>3</w:t>
      </w:r>
      <w:r w:rsidRPr="001D0DA0">
        <w:rPr>
          <w:b/>
        </w:rPr>
        <w:t xml:space="preserve"> der </w:t>
      </w:r>
      <w:r w:rsidR="00C64588" w:rsidRPr="001D0DA0">
        <w:rPr>
          <w:b/>
        </w:rPr>
        <w:t>AABen</w:t>
      </w:r>
      <w:r w:rsidRPr="001D0DA0">
        <w:rPr>
          <w:b/>
        </w:rPr>
        <w:t xml:space="preserve"> nicht auf Fremdwährung lauten.“</w:t>
      </w:r>
    </w:p>
    <w:p w14:paraId="00AE3BF7" w14:textId="77777777" w:rsidR="001E4E3A" w:rsidRDefault="003B0554" w:rsidP="00144F78">
      <w:pPr>
        <w:pStyle w:val="Bearb-Hinweis"/>
        <w:pBdr>
          <w:top w:val="single" w:sz="4" w:space="1" w:color="auto"/>
          <w:left w:val="single" w:sz="4" w:space="4" w:color="auto"/>
          <w:bottom w:val="single" w:sz="4" w:space="1" w:color="auto"/>
          <w:right w:val="single" w:sz="4" w:space="4" w:color="auto"/>
        </w:pBdr>
        <w:rPr>
          <w:b/>
          <w:color w:val="000000"/>
          <w:u w:val="single"/>
        </w:rPr>
      </w:pPr>
      <w:r>
        <w:t>9</w:t>
      </w:r>
      <w:r w:rsidR="00693BAB" w:rsidRPr="00885093">
        <w:t xml:space="preserve">. Sofern Investmentanteile erworben werden dürfen, ist der </w:t>
      </w:r>
      <w:r w:rsidR="009F7674">
        <w:t xml:space="preserve">Anteil am OGAW-Sondervermögen </w:t>
      </w:r>
      <w:r w:rsidR="00693BAB" w:rsidRPr="00885093">
        <w:t>anzugeben</w:t>
      </w:r>
      <w:r w:rsidR="009F7674">
        <w:t>.</w:t>
      </w:r>
      <w:r w:rsidR="00721F82">
        <w:t xml:space="preserve"> </w:t>
      </w:r>
      <w:r w:rsidR="00693BAB" w:rsidRPr="00885093">
        <w:t xml:space="preserve">Es sind </w:t>
      </w:r>
      <w:r w:rsidR="00693BAB" w:rsidRPr="001931CB">
        <w:rPr>
          <w:b/>
          <w:color w:val="000000"/>
          <w:u w:val="single"/>
        </w:rPr>
        <w:t>konkrete Angaben erforderlich über:</w:t>
      </w:r>
    </w:p>
    <w:p w14:paraId="373F1712" w14:textId="77777777" w:rsidR="0083340A" w:rsidRDefault="0083340A" w:rsidP="00144F78">
      <w:pPr>
        <w:pStyle w:val="Bearb-Hinweis"/>
        <w:pBdr>
          <w:top w:val="single" w:sz="4" w:space="1" w:color="auto"/>
          <w:left w:val="single" w:sz="4" w:space="4" w:color="auto"/>
          <w:bottom w:val="single" w:sz="4" w:space="1" w:color="auto"/>
          <w:right w:val="single" w:sz="4" w:space="4" w:color="auto"/>
        </w:pBdr>
        <w:rPr>
          <w:b/>
          <w:color w:val="000000"/>
          <w:u w:val="single"/>
        </w:rPr>
      </w:pPr>
      <w:r>
        <w:t xml:space="preserve">- </w:t>
      </w:r>
      <w:r w:rsidRPr="005139E2">
        <w:t>die Grundsätze, nach denen die zu e</w:t>
      </w:r>
      <w:r>
        <w:t>rwerbenden Anteile ausgewählt</w:t>
      </w:r>
      <w:r w:rsidR="001D1370">
        <w:t xml:space="preserve"> werden</w:t>
      </w:r>
      <w:r>
        <w:t>, insbesondere die Arten der Investmentvermögen, deren Anteile oder Aktien für das OGAW-Sondervermögen erworben werden dürfen</w:t>
      </w:r>
      <w:r w:rsidRPr="005139E2">
        <w:t>;</w:t>
      </w:r>
    </w:p>
    <w:p w14:paraId="0A64EB0E" w14:textId="77777777" w:rsidR="00D0139A" w:rsidRDefault="00693BAB" w:rsidP="00144F78">
      <w:pPr>
        <w:pStyle w:val="Bearb-Hinweis"/>
        <w:pBdr>
          <w:top w:val="single" w:sz="4" w:space="1" w:color="auto"/>
          <w:left w:val="single" w:sz="4" w:space="4" w:color="auto"/>
          <w:bottom w:val="single" w:sz="4" w:space="1" w:color="auto"/>
          <w:right w:val="single" w:sz="4" w:space="4" w:color="auto"/>
        </w:pBdr>
      </w:pPr>
      <w:r w:rsidRPr="00885093">
        <w:t xml:space="preserve">- der Anteil des </w:t>
      </w:r>
      <w:r w:rsidR="00B60284">
        <w:t>OGAW-</w:t>
      </w:r>
      <w:r w:rsidRPr="00885093">
        <w:t>Sondervermögens, der höchstens in Anteilen der jeweiligen Art gehalten werden darf.</w:t>
      </w:r>
    </w:p>
    <w:p w14:paraId="5C9A2B09" w14:textId="77777777" w:rsidR="00D0139A" w:rsidRDefault="008F388B" w:rsidP="00144F78">
      <w:pPr>
        <w:pStyle w:val="Bearb-Hinweis"/>
        <w:pBdr>
          <w:top w:val="single" w:sz="4" w:space="1" w:color="auto"/>
          <w:left w:val="single" w:sz="4" w:space="4" w:color="auto"/>
          <w:bottom w:val="single" w:sz="4" w:space="1" w:color="auto"/>
          <w:right w:val="single" w:sz="4" w:space="4" w:color="auto"/>
        </w:pBdr>
      </w:pPr>
      <w:r>
        <w:t>1</w:t>
      </w:r>
      <w:r w:rsidR="003B0554">
        <w:t>0</w:t>
      </w:r>
      <w:r>
        <w:t>.</w:t>
      </w:r>
      <w:r w:rsidR="006A0C04">
        <w:t xml:space="preserve"> Sofern das </w:t>
      </w:r>
      <w:r w:rsidR="00B60284">
        <w:t>OGAW-</w:t>
      </w:r>
      <w:r w:rsidR="006A0C04">
        <w:t xml:space="preserve">Sondervermögen selbst als Masterfonds </w:t>
      </w:r>
      <w:r w:rsidR="007E70B3">
        <w:t>gemäß</w:t>
      </w:r>
      <w:r w:rsidR="006A0C04">
        <w:t xml:space="preserve"> § </w:t>
      </w:r>
      <w:r w:rsidR="00097B3F">
        <w:t>1 Absatz</w:t>
      </w:r>
      <w:r w:rsidR="007E70B3">
        <w:t xml:space="preserve"> 19 Nummer</w:t>
      </w:r>
      <w:r w:rsidR="00097B3F">
        <w:t xml:space="preserve"> 12 KAGB</w:t>
      </w:r>
      <w:r w:rsidR="006A0C04">
        <w:t xml:space="preserve"> erwerbbar sein soll, ist zusätzlich folgender Zusatz aufzunehmen:</w:t>
      </w:r>
    </w:p>
    <w:p w14:paraId="2171E5E4" w14:textId="77777777" w:rsidR="00D0139A" w:rsidRDefault="006A0C04" w:rsidP="00144F78">
      <w:pPr>
        <w:pStyle w:val="Bearb-Hinweis"/>
        <w:pBdr>
          <w:top w:val="single" w:sz="4" w:space="1" w:color="auto"/>
          <w:left w:val="single" w:sz="4" w:space="4" w:color="auto"/>
          <w:bottom w:val="single" w:sz="4" w:space="1" w:color="auto"/>
          <w:right w:val="single" w:sz="4" w:space="4" w:color="auto"/>
        </w:pBdr>
        <w:rPr>
          <w:b/>
        </w:rPr>
      </w:pPr>
      <w:r w:rsidRPr="00472660">
        <w:rPr>
          <w:b/>
        </w:rPr>
        <w:t xml:space="preserve">„Anteile an Feederfonds </w:t>
      </w:r>
      <w:r w:rsidR="007E70B3" w:rsidRPr="00472660">
        <w:rPr>
          <w:b/>
        </w:rPr>
        <w:t>gemäß</w:t>
      </w:r>
      <w:r w:rsidRPr="00472660">
        <w:rPr>
          <w:b/>
        </w:rPr>
        <w:t xml:space="preserve"> § </w:t>
      </w:r>
      <w:r w:rsidR="00097B3F" w:rsidRPr="00472660">
        <w:rPr>
          <w:b/>
        </w:rPr>
        <w:t xml:space="preserve">1 Absatz </w:t>
      </w:r>
      <w:r w:rsidR="007E70B3" w:rsidRPr="00472660">
        <w:rPr>
          <w:b/>
        </w:rPr>
        <w:t xml:space="preserve">19 Nummer </w:t>
      </w:r>
      <w:r w:rsidR="00097B3F" w:rsidRPr="00472660">
        <w:rPr>
          <w:b/>
        </w:rPr>
        <w:t>11 KAGB</w:t>
      </w:r>
      <w:r w:rsidRPr="00472660">
        <w:rPr>
          <w:b/>
        </w:rPr>
        <w:t xml:space="preserve"> werden für das </w:t>
      </w:r>
      <w:r w:rsidR="00B60284" w:rsidRPr="00472660">
        <w:rPr>
          <w:b/>
        </w:rPr>
        <w:t>OGAW-</w:t>
      </w:r>
      <w:r w:rsidRPr="00472660">
        <w:rPr>
          <w:b/>
        </w:rPr>
        <w:t>Sondervermögen nicht erworben.“</w:t>
      </w:r>
    </w:p>
    <w:p w14:paraId="298D2BB4" w14:textId="77777777" w:rsidR="00D0139A" w:rsidRDefault="008F388B" w:rsidP="00144F78">
      <w:pPr>
        <w:pStyle w:val="Bearb-Hinweis"/>
        <w:pBdr>
          <w:top w:val="single" w:sz="4" w:space="1" w:color="auto"/>
          <w:left w:val="single" w:sz="4" w:space="4" w:color="auto"/>
          <w:bottom w:val="single" w:sz="4" w:space="1" w:color="auto"/>
          <w:right w:val="single" w:sz="4" w:space="4" w:color="auto"/>
        </w:pBdr>
      </w:pPr>
      <w:r>
        <w:t>1</w:t>
      </w:r>
      <w:r w:rsidR="003B0554">
        <w:t>1</w:t>
      </w:r>
      <w:r>
        <w:t>.</w:t>
      </w:r>
      <w:r w:rsidR="00693BAB" w:rsidRPr="00885093">
        <w:t xml:space="preserve"> Sofern Pensionsgeschäfte mit Investmentanteilen getätigt werden dürfen, ist zusätzlich folgende Wendung aufzunehmen:</w:t>
      </w:r>
    </w:p>
    <w:p w14:paraId="27D263FF" w14:textId="77777777" w:rsidR="00D0139A" w:rsidRDefault="00693BAB" w:rsidP="00144F78">
      <w:pPr>
        <w:pStyle w:val="Bearb-Hinweis"/>
        <w:pBdr>
          <w:top w:val="single" w:sz="4" w:space="1" w:color="auto"/>
          <w:left w:val="single" w:sz="4" w:space="4" w:color="auto"/>
          <w:bottom w:val="single" w:sz="4" w:space="1" w:color="auto"/>
          <w:right w:val="single" w:sz="4" w:space="4" w:color="auto"/>
        </w:pBdr>
        <w:rPr>
          <w:b/>
        </w:rPr>
      </w:pPr>
      <w:r w:rsidRPr="001D0DA0">
        <w:rPr>
          <w:b/>
        </w:rPr>
        <w:t>„Die in Pension genommenen Investmentanteile sind auf die Anlagegrenzen de</w:t>
      </w:r>
      <w:r w:rsidR="007F4F81" w:rsidRPr="001D0DA0">
        <w:rPr>
          <w:b/>
        </w:rPr>
        <w:t>r</w:t>
      </w:r>
      <w:r w:rsidRPr="001D0DA0">
        <w:rPr>
          <w:b/>
        </w:rPr>
        <w:t xml:space="preserve"> §§ </w:t>
      </w:r>
      <w:r w:rsidR="002C01D3" w:rsidRPr="001D0DA0">
        <w:rPr>
          <w:b/>
        </w:rPr>
        <w:t xml:space="preserve">207 </w:t>
      </w:r>
      <w:r w:rsidRPr="001D0DA0">
        <w:rPr>
          <w:b/>
        </w:rPr>
        <w:t xml:space="preserve">und </w:t>
      </w:r>
      <w:r w:rsidR="002C01D3" w:rsidRPr="001D0DA0">
        <w:rPr>
          <w:b/>
        </w:rPr>
        <w:t>2</w:t>
      </w:r>
      <w:r w:rsidR="007E70B3" w:rsidRPr="001D0DA0">
        <w:rPr>
          <w:b/>
        </w:rPr>
        <w:t>10</w:t>
      </w:r>
      <w:r w:rsidR="002C01D3" w:rsidRPr="001D0DA0">
        <w:rPr>
          <w:b/>
        </w:rPr>
        <w:t xml:space="preserve"> </w:t>
      </w:r>
      <w:r w:rsidR="00EC15FD" w:rsidRPr="001D0DA0">
        <w:rPr>
          <w:b/>
        </w:rPr>
        <w:t>Abs</w:t>
      </w:r>
      <w:r w:rsidR="002C01D3" w:rsidRPr="001D0DA0">
        <w:rPr>
          <w:b/>
        </w:rPr>
        <w:t>atz</w:t>
      </w:r>
      <w:r w:rsidRPr="001D0DA0">
        <w:rPr>
          <w:b/>
        </w:rPr>
        <w:t xml:space="preserve"> 3 </w:t>
      </w:r>
      <w:r w:rsidR="002C01D3" w:rsidRPr="001D0DA0">
        <w:rPr>
          <w:b/>
        </w:rPr>
        <w:t>KABG</w:t>
      </w:r>
      <w:r w:rsidRPr="001D0DA0">
        <w:rPr>
          <w:b/>
        </w:rPr>
        <w:t xml:space="preserve"> anzurechnen.“</w:t>
      </w:r>
    </w:p>
    <w:p w14:paraId="4D52EBAD" w14:textId="77777777" w:rsidR="00D0139A" w:rsidRDefault="008F388B" w:rsidP="00144F78">
      <w:pPr>
        <w:pStyle w:val="Bearb-Hinweis"/>
        <w:pBdr>
          <w:top w:val="single" w:sz="4" w:space="1" w:color="auto"/>
          <w:left w:val="single" w:sz="4" w:space="4" w:color="auto"/>
          <w:bottom w:val="single" w:sz="4" w:space="1" w:color="auto"/>
          <w:right w:val="single" w:sz="4" w:space="4" w:color="auto"/>
        </w:pBdr>
      </w:pPr>
      <w:r>
        <w:t>1</w:t>
      </w:r>
      <w:r w:rsidR="003B0554">
        <w:t>2</w:t>
      </w:r>
      <w:r w:rsidR="00693BAB" w:rsidRPr="00885093">
        <w:t>. Sofern der Erwerb von Derivaten</w:t>
      </w:r>
      <w:r w:rsidR="00C96AE1">
        <w:t xml:space="preserve"> in Abweichung zu § 9 der </w:t>
      </w:r>
      <w:r w:rsidR="0083340A">
        <w:t>AABen</w:t>
      </w:r>
      <w:r w:rsidR="00721F82">
        <w:t xml:space="preserve"> </w:t>
      </w:r>
      <w:r w:rsidR="00693BAB" w:rsidRPr="00885093">
        <w:t xml:space="preserve">vorgesehen ist, ist anzugeben, in welchem Umfang </w:t>
      </w:r>
      <w:r w:rsidR="00711483">
        <w:t>die</w:t>
      </w:r>
      <w:r w:rsidR="00C96AE1">
        <w:t xml:space="preserve"> in den </w:t>
      </w:r>
      <w:r w:rsidR="0083340A">
        <w:t>AABen</w:t>
      </w:r>
      <w:r w:rsidR="00CA50E9">
        <w:t xml:space="preserve"> eröffneten Möglichkeiten </w:t>
      </w:r>
      <w:r w:rsidR="00711483">
        <w:t>eingeschränkt</w:t>
      </w:r>
      <w:r w:rsidR="00CA50E9">
        <w:t xml:space="preserve"> werden soll</w:t>
      </w:r>
      <w:r w:rsidR="00711483">
        <w:t>en</w:t>
      </w:r>
      <w:r w:rsidR="00CA50E9">
        <w:t>. z.B.</w:t>
      </w:r>
    </w:p>
    <w:p w14:paraId="012834FA" w14:textId="77777777" w:rsidR="00D0139A" w:rsidRDefault="00856318" w:rsidP="00144F78">
      <w:pPr>
        <w:pStyle w:val="Bearb-Hinweis"/>
        <w:pBdr>
          <w:top w:val="single" w:sz="4" w:space="1" w:color="auto"/>
          <w:left w:val="single" w:sz="4" w:space="4" w:color="auto"/>
          <w:bottom w:val="single" w:sz="4" w:space="1" w:color="auto"/>
          <w:right w:val="single" w:sz="4" w:space="4" w:color="auto"/>
        </w:pBdr>
        <w:rPr>
          <w:b/>
        </w:rPr>
      </w:pPr>
      <w:r w:rsidRPr="00856318">
        <w:rPr>
          <w:b/>
        </w:rPr>
        <w:t>„…</w:t>
      </w:r>
      <w:r w:rsidR="00CA50E9" w:rsidRPr="00856318">
        <w:rPr>
          <w:b/>
        </w:rPr>
        <w:t>Derivate</w:t>
      </w:r>
    </w:p>
    <w:p w14:paraId="7E850839" w14:textId="77777777" w:rsidR="00693BAB" w:rsidRPr="00885093" w:rsidRDefault="00CA50E9" w:rsidP="00144F78">
      <w:pPr>
        <w:pStyle w:val="Bearb-Hinweis"/>
        <w:pBdr>
          <w:top w:val="single" w:sz="4" w:space="1" w:color="auto"/>
          <w:left w:val="single" w:sz="4" w:space="4" w:color="auto"/>
          <w:bottom w:val="single" w:sz="4" w:space="1" w:color="auto"/>
          <w:right w:val="single" w:sz="4" w:space="4" w:color="auto"/>
        </w:pBdr>
      </w:pPr>
      <w:r w:rsidRPr="00856318">
        <w:rPr>
          <w:b/>
        </w:rPr>
        <w:lastRenderedPageBreak/>
        <w:t>Es dürfen keine Derivate oder Finanzinstrumente mit derivativer Komponente erworben werden</w:t>
      </w:r>
      <w:r w:rsidR="00B637CA">
        <w:rPr>
          <w:b/>
        </w:rPr>
        <w:t>,</w:t>
      </w:r>
      <w:r w:rsidRPr="00856318">
        <w:rPr>
          <w:b/>
        </w:rPr>
        <w:t xml:space="preserve"> </w:t>
      </w:r>
      <w:r w:rsidR="00C96AE1" w:rsidRPr="00856318">
        <w:rPr>
          <w:b/>
        </w:rPr>
        <w:t>deren Basiswerte Aktien sind.</w:t>
      </w:r>
      <w:r w:rsidR="00856318" w:rsidRPr="00856318">
        <w:rPr>
          <w:b/>
        </w:rPr>
        <w:t>“</w:t>
      </w:r>
    </w:p>
    <w:p w14:paraId="509975C2" w14:textId="77777777" w:rsidR="00693BAB" w:rsidRPr="00DD7C2D" w:rsidRDefault="00693BAB">
      <w:pPr>
        <w:pStyle w:val="Paragr-berschr"/>
        <w:rPr>
          <w:szCs w:val="24"/>
        </w:rPr>
      </w:pPr>
      <w:r w:rsidRPr="00DD7C2D">
        <w:rPr>
          <w:szCs w:val="24"/>
        </w:rPr>
        <w:t>Baustein 3</w:t>
      </w:r>
      <w:r w:rsidRPr="00DD7C2D">
        <w:rPr>
          <w:szCs w:val="24"/>
        </w:rPr>
        <w:br/>
        <w:t>Anlageausschuss</w:t>
      </w:r>
    </w:p>
    <w:p w14:paraId="2A476D04" w14:textId="77777777" w:rsidR="00FA59A9" w:rsidRDefault="00693BAB" w:rsidP="00FA59A9">
      <w:pPr>
        <w:pStyle w:val="Bearb-Hinweis"/>
        <w:pBdr>
          <w:top w:val="single" w:sz="4" w:space="1" w:color="auto"/>
          <w:left w:val="single" w:sz="4" w:space="4" w:color="auto"/>
          <w:bottom w:val="single" w:sz="4" w:space="1" w:color="auto"/>
          <w:right w:val="single" w:sz="4" w:space="4" w:color="auto"/>
        </w:pBdr>
      </w:pPr>
      <w:r>
        <w:rPr>
          <w:u w:val="single"/>
        </w:rPr>
        <w:t>Bearbeiterhinweis</w:t>
      </w:r>
      <w:r>
        <w:t>:</w:t>
      </w:r>
    </w:p>
    <w:p w14:paraId="112E0E9E" w14:textId="77777777" w:rsidR="007F4F81" w:rsidRDefault="00693BAB" w:rsidP="00FA59A9">
      <w:pPr>
        <w:pStyle w:val="Bearb-Hinweis"/>
        <w:pBdr>
          <w:top w:val="single" w:sz="4" w:space="1" w:color="auto"/>
          <w:left w:val="single" w:sz="4" w:space="4" w:color="auto"/>
          <w:bottom w:val="single" w:sz="4" w:space="1" w:color="auto"/>
          <w:right w:val="single" w:sz="4" w:space="4" w:color="auto"/>
        </w:pBdr>
      </w:pPr>
      <w:r>
        <w:t xml:space="preserve">Wenn für das </w:t>
      </w:r>
      <w:r w:rsidR="009F7674">
        <w:t>OGAW-</w:t>
      </w:r>
      <w:r>
        <w:t>Sondervermögen ein Anlageausschuss besteht, ist wie folgt zu formulieren:</w:t>
      </w:r>
    </w:p>
    <w:p w14:paraId="2EF386E9" w14:textId="77777777" w:rsidR="00693BAB" w:rsidRDefault="00693BAB" w:rsidP="00FA59A9">
      <w:pPr>
        <w:pStyle w:val="Bearb-Hinweis"/>
        <w:pBdr>
          <w:top w:val="single" w:sz="4" w:space="1" w:color="auto"/>
          <w:left w:val="single" w:sz="4" w:space="4" w:color="auto"/>
          <w:bottom w:val="single" w:sz="4" w:space="1" w:color="auto"/>
          <w:right w:val="single" w:sz="4" w:space="4" w:color="auto"/>
        </w:pBdr>
        <w:rPr>
          <w:b/>
        </w:rPr>
      </w:pPr>
      <w:r>
        <w:rPr>
          <w:b/>
        </w:rPr>
        <w:t xml:space="preserve">„Die Gesellschaft bedient sich </w:t>
      </w:r>
      <w:r w:rsidR="007725B3">
        <w:rPr>
          <w:b/>
        </w:rPr>
        <w:t xml:space="preserve">mit Blick auf </w:t>
      </w:r>
      <w:r>
        <w:rPr>
          <w:b/>
        </w:rPr>
        <w:t xml:space="preserve">das </w:t>
      </w:r>
      <w:r w:rsidR="00B60284">
        <w:rPr>
          <w:b/>
        </w:rPr>
        <w:t>OGAW-</w:t>
      </w:r>
      <w:r>
        <w:rPr>
          <w:b/>
        </w:rPr>
        <w:t>Sondervermögen des Rates eines Anlageausschusses.</w:t>
      </w:r>
      <w:r w:rsidR="007F4F81">
        <w:rPr>
          <w:b/>
        </w:rPr>
        <w:t>“</w:t>
      </w:r>
    </w:p>
    <w:p w14:paraId="4F8B655F" w14:textId="77777777" w:rsidR="00184574" w:rsidRDefault="00184574">
      <w:pPr>
        <w:pStyle w:val="Paragr-berschr"/>
      </w:pPr>
    </w:p>
    <w:p w14:paraId="31BCC75A" w14:textId="77777777" w:rsidR="001E4E3A" w:rsidRDefault="00693BAB">
      <w:pPr>
        <w:pStyle w:val="Paragr-berschr"/>
      </w:pPr>
      <w:r>
        <w:t>ANTEILKLASSEN</w:t>
      </w:r>
    </w:p>
    <w:p w14:paraId="3238995E" w14:textId="77777777" w:rsidR="00693BAB" w:rsidRDefault="00693BAB">
      <w:pPr>
        <w:pStyle w:val="Paragr-berschr"/>
      </w:pPr>
      <w:r>
        <w:t>Baustein 4</w:t>
      </w:r>
      <w:r>
        <w:br/>
        <w:t>Anteilklassen</w:t>
      </w:r>
    </w:p>
    <w:p w14:paraId="4060848A" w14:textId="77777777" w:rsidR="00693BAB" w:rsidRDefault="00693BAB">
      <w:pPr>
        <w:pStyle w:val="BAKred-Standard"/>
      </w:pPr>
      <w:r>
        <w:t xml:space="preserve">Alle Anteile haben gleiche </w:t>
      </w:r>
      <w:r w:rsidR="007E70B3">
        <w:t>Ausgestaltungsmerkmale</w:t>
      </w:r>
      <w:r>
        <w:t xml:space="preserve">; verschiedene Anteilklassen gemäß § 16 </w:t>
      </w:r>
      <w:r w:rsidR="00C926E4">
        <w:t>Absatz</w:t>
      </w:r>
      <w:r>
        <w:t xml:space="preserve"> 2 der</w:t>
      </w:r>
      <w:r w:rsidR="0083340A">
        <w:t xml:space="preserve"> AABen </w:t>
      </w:r>
      <w:r>
        <w:t>werden nicht gebildet.</w:t>
      </w:r>
    </w:p>
    <w:p w14:paraId="51C9705B" w14:textId="77777777" w:rsidR="00337F64" w:rsidRDefault="00337F64" w:rsidP="00337F64">
      <w:pPr>
        <w:pStyle w:val="Paragr-berschr"/>
        <w:spacing w:before="0" w:after="0"/>
        <w:rPr>
          <w:sz w:val="22"/>
        </w:rPr>
      </w:pPr>
      <w:r>
        <w:rPr>
          <w:sz w:val="22"/>
        </w:rPr>
        <w:t>Alternativ: Bildung von Anteilklassen</w:t>
      </w:r>
    </w:p>
    <w:p w14:paraId="37E8452D" w14:textId="2D3057A3" w:rsidR="00337F64" w:rsidRDefault="00337F64" w:rsidP="00337F64">
      <w:pPr>
        <w:pStyle w:val="BAKred-Standard"/>
      </w:pPr>
      <w:r w:rsidRPr="00266AD5">
        <w:t>Für das</w:t>
      </w:r>
      <w:r>
        <w:t xml:space="preserve"> OGAW-Sondervermögen können &lt;die folgenden&gt; </w:t>
      </w:r>
      <w:r w:rsidRPr="00266AD5">
        <w:t>Anteilklassen im Sinne von § 16 Abs. 2 der AABen gebildet werden</w:t>
      </w:r>
      <w:r>
        <w:t xml:space="preserve"> &lt;</w:t>
      </w:r>
      <w:r w:rsidRPr="00266AD5">
        <w:t xml:space="preserve">die sich hinsichtlich </w:t>
      </w:r>
      <w:r>
        <w:t>folgender Ausgestaltungsmerkmale unterscheiden&gt;</w:t>
      </w:r>
      <w:proofErr w:type="gramStart"/>
      <w:r>
        <w:rPr>
          <w:sz w:val="20"/>
        </w:rPr>
        <w:t>&lt;</w:t>
      </w:r>
      <w:r>
        <w:t>….</w:t>
      </w:r>
      <w:proofErr w:type="gramEnd"/>
      <w:r>
        <w:rPr>
          <w:sz w:val="20"/>
        </w:rPr>
        <w:t xml:space="preserve">&gt;. </w:t>
      </w:r>
      <w:r w:rsidRPr="00266AD5">
        <w:t>Die Bildung von Anteilklassen ist jederzeit zulässig und liegt im Ermessen der Gesellschaft.</w:t>
      </w:r>
      <w:r w:rsidR="00F32030">
        <w:br/>
      </w:r>
    </w:p>
    <w:p w14:paraId="64B29B53" w14:textId="77777777" w:rsidR="005F24D7" w:rsidRPr="0080236B" w:rsidRDefault="005F24D7" w:rsidP="005F24D7">
      <w:pPr>
        <w:pStyle w:val="Bearb-Hinweis"/>
        <w:pBdr>
          <w:top w:val="single" w:sz="4" w:space="1" w:color="auto"/>
          <w:left w:val="single" w:sz="4" w:space="4" w:color="auto"/>
          <w:bottom w:val="single" w:sz="4" w:space="1" w:color="auto"/>
          <w:right w:val="single" w:sz="4" w:space="4" w:color="auto"/>
        </w:pBdr>
      </w:pPr>
      <w:r w:rsidRPr="0080236B">
        <w:rPr>
          <w:u w:val="single"/>
        </w:rPr>
        <w:lastRenderedPageBreak/>
        <w:t>Bearbeiterhinweis</w:t>
      </w:r>
      <w:r w:rsidRPr="0080236B">
        <w:t>:</w:t>
      </w:r>
    </w:p>
    <w:p w14:paraId="32FDA009" w14:textId="77777777" w:rsidR="00DD4158" w:rsidRPr="009D4619" w:rsidRDefault="00DD4158" w:rsidP="00DD4158">
      <w:pPr>
        <w:pStyle w:val="Bearb-Hinweis"/>
        <w:pBdr>
          <w:top w:val="single" w:sz="4" w:space="1" w:color="auto"/>
          <w:left w:val="single" w:sz="4" w:space="4" w:color="auto"/>
          <w:bottom w:val="single" w:sz="4" w:space="1" w:color="auto"/>
          <w:right w:val="single" w:sz="4" w:space="4" w:color="auto"/>
        </w:pBdr>
      </w:pPr>
      <w:r w:rsidRPr="009D4619">
        <w:t xml:space="preserve">1. Falls nach Anteilklasse unterschiedliche Nettoinventarwerte je Anteil entstehen (z.B. bei Bildung von Anteilklassen mit unterschiedlichen Währungen, bei Durchführung von Währungskurssicherungsgeschäften ausschließlich zugunsten einer einzigen Anteilklasse oder bei nach Anteilklasse unterschiedlich hohen Kosten), </w:t>
      </w:r>
      <w:r w:rsidR="009D4619" w:rsidRPr="009D4619">
        <w:t xml:space="preserve">sind </w:t>
      </w:r>
      <w:r w:rsidRPr="009D4619">
        <w:t>die Methoden zur Ermittlung und Berechnung des Nettoinventarwerts je Anteil für jede Anteilklasse ausschließlich im Verkaufsprospekt näher darzulegen.</w:t>
      </w:r>
    </w:p>
    <w:p w14:paraId="46F14DCA" w14:textId="77777777" w:rsidR="00DD4158" w:rsidRPr="009D4619" w:rsidRDefault="00084A67" w:rsidP="00DD4158">
      <w:pPr>
        <w:pStyle w:val="Bearb-Hinweis"/>
        <w:pBdr>
          <w:top w:val="single" w:sz="4" w:space="1" w:color="auto"/>
          <w:left w:val="single" w:sz="4" w:space="4" w:color="auto"/>
          <w:bottom w:val="single" w:sz="4" w:space="1" w:color="auto"/>
          <w:right w:val="single" w:sz="4" w:space="4" w:color="auto"/>
        </w:pBdr>
      </w:pPr>
      <w:r w:rsidRPr="009D4619">
        <w:t xml:space="preserve">2. </w:t>
      </w:r>
      <w:r w:rsidR="00DD4158" w:rsidRPr="009D4619">
        <w:t>Die im KAGB vorgesehenen Liquiditätssteuerungsinstrumente dürfen bei Verwendung nur für das gesamte Sondervermögen und nicht nur für eine einzelne Anteilklasse eingesetzt werden.</w:t>
      </w:r>
    </w:p>
    <w:p w14:paraId="32421407" w14:textId="77777777" w:rsidR="005F24D7" w:rsidRPr="0080236B" w:rsidRDefault="00084A67" w:rsidP="005F24D7">
      <w:pPr>
        <w:pStyle w:val="Bearb-Hinweis"/>
        <w:pBdr>
          <w:top w:val="single" w:sz="4" w:space="1" w:color="auto"/>
          <w:left w:val="single" w:sz="4" w:space="4" w:color="auto"/>
          <w:bottom w:val="single" w:sz="4" w:space="1" w:color="auto"/>
          <w:right w:val="single" w:sz="4" w:space="4" w:color="auto"/>
        </w:pBdr>
      </w:pPr>
      <w:r w:rsidRPr="009D4619">
        <w:t>3</w:t>
      </w:r>
      <w:r w:rsidR="00DD4158" w:rsidRPr="009D4619">
        <w:t xml:space="preserve">. </w:t>
      </w:r>
      <w:r w:rsidR="005F24D7" w:rsidRPr="0080236B">
        <w:t xml:space="preserve">Wenn für das OGAW-Sondervermögen einzelne Anteilklassen gebildet werden sollen, die die Voraussetzungen für eine Steuerbefreiung gemäß § 10 InvStG erfüllen, ist wie folgt zu formulieren:  </w:t>
      </w:r>
    </w:p>
    <w:p w14:paraId="2C071B9F" w14:textId="77777777" w:rsidR="005F24D7" w:rsidRPr="0080236B" w:rsidRDefault="005F24D7" w:rsidP="005F24D7">
      <w:pPr>
        <w:pStyle w:val="Bearb-Hinweis"/>
        <w:pBdr>
          <w:top w:val="single" w:sz="4" w:space="1" w:color="auto"/>
          <w:left w:val="single" w:sz="4" w:space="4" w:color="auto"/>
          <w:bottom w:val="single" w:sz="4" w:space="1" w:color="auto"/>
          <w:right w:val="single" w:sz="4" w:space="4" w:color="auto"/>
        </w:pBdr>
        <w:spacing w:after="0"/>
        <w:rPr>
          <w:b/>
        </w:rPr>
      </w:pPr>
      <w:r w:rsidRPr="0080236B">
        <w:rPr>
          <w:b/>
        </w:rPr>
        <w:t xml:space="preserve">„Für das OGAW-Sondervermögen können </w:t>
      </w:r>
      <w:r w:rsidR="00337F64">
        <w:rPr>
          <w:b/>
        </w:rPr>
        <w:t>&lt;</w:t>
      </w:r>
      <w:r w:rsidRPr="0080236B">
        <w:rPr>
          <w:b/>
        </w:rPr>
        <w:t>die folgenden</w:t>
      </w:r>
      <w:r w:rsidR="00337F64">
        <w:rPr>
          <w:b/>
        </w:rPr>
        <w:t>&gt;</w:t>
      </w:r>
      <w:r w:rsidRPr="0080236B">
        <w:rPr>
          <w:b/>
        </w:rPr>
        <w:t xml:space="preserve"> Anteilklassen im Sinne von § 16 Abs. 2 der AABen gebildet werden, die sich hinsichtlich der Anleger, die Anteile erwerben und halten dürfen, </w:t>
      </w:r>
      <w:r w:rsidR="00337F64">
        <w:rPr>
          <w:b/>
        </w:rPr>
        <w:t>&lt;sowie folgender weiterer</w:t>
      </w:r>
      <w:r w:rsidR="00337F64" w:rsidRPr="00266AD5">
        <w:rPr>
          <w:b/>
        </w:rPr>
        <w:t xml:space="preserve"> Ausgestaltungsmerkmale</w:t>
      </w:r>
      <w:r w:rsidR="00337F64">
        <w:rPr>
          <w:b/>
        </w:rPr>
        <w:t xml:space="preserve">&gt; </w:t>
      </w:r>
      <w:r w:rsidRPr="0080236B">
        <w:rPr>
          <w:b/>
        </w:rPr>
        <w:t>unterscheiden</w:t>
      </w:r>
      <w:r w:rsidR="006E1D9C">
        <w:rPr>
          <w:b/>
        </w:rPr>
        <w:t xml:space="preserve"> </w:t>
      </w:r>
      <w:r w:rsidR="006E1D9C" w:rsidRPr="009D4619">
        <w:rPr>
          <w:b/>
        </w:rPr>
        <w:t>&lt;…&gt;</w:t>
      </w:r>
      <w:r w:rsidRPr="009D4619">
        <w:rPr>
          <w:b/>
        </w:rPr>
        <w:t>.</w:t>
      </w:r>
      <w:r w:rsidRPr="0080236B">
        <w:rPr>
          <w:b/>
        </w:rPr>
        <w:t xml:space="preserve"> Die Bildung von Anteilklassen ist jederzeit zulässig und liegt im Ermessen der Gesellschaft.“</w:t>
      </w:r>
    </w:p>
    <w:p w14:paraId="27BB7CC1" w14:textId="77777777" w:rsidR="005F24D7" w:rsidRPr="0080236B" w:rsidRDefault="005F24D7" w:rsidP="005F24D7">
      <w:pPr>
        <w:pStyle w:val="Bearb-Hinweis"/>
        <w:pBdr>
          <w:top w:val="single" w:sz="4" w:space="1" w:color="auto"/>
          <w:left w:val="single" w:sz="4" w:space="4" w:color="auto"/>
          <w:bottom w:val="single" w:sz="4" w:space="1" w:color="auto"/>
          <w:right w:val="single" w:sz="4" w:space="4" w:color="auto"/>
        </w:pBdr>
        <w:spacing w:after="0"/>
        <w:rPr>
          <w:b/>
        </w:rPr>
      </w:pPr>
    </w:p>
    <w:p w14:paraId="5EADB15B" w14:textId="77777777" w:rsidR="005F24D7" w:rsidRPr="0080236B" w:rsidRDefault="005F24D7" w:rsidP="005F24D7">
      <w:pPr>
        <w:pStyle w:val="Bearb-Hinweis"/>
        <w:pBdr>
          <w:top w:val="single" w:sz="4" w:space="1" w:color="auto"/>
          <w:left w:val="single" w:sz="4" w:space="4" w:color="auto"/>
          <w:bottom w:val="single" w:sz="4" w:space="1" w:color="auto"/>
          <w:right w:val="single" w:sz="4" w:space="4" w:color="auto"/>
        </w:pBdr>
        <w:spacing w:after="0"/>
      </w:pPr>
      <w:r w:rsidRPr="0080236B">
        <w:t>Voraussetzung für eine Steuerbefreiung ist laut § 10 InvStG, dass die Beschränkung des Anlegerkreises in den Anlagebedingungen geregelt wird. Daher scheint es aus steuerlicher Sicht nicht ausreichend, wenn hier nur allgemein die Möglichkeit zur Bildung von Anteilklassen vorgesehen</w:t>
      </w:r>
      <w:r w:rsidR="00A57BD1" w:rsidRPr="0080236B">
        <w:t xml:space="preserve">, </w:t>
      </w:r>
      <w:r w:rsidRPr="0080236B">
        <w:t>und die bestehenden Anteilklassen nebst Ausgestaltungsmerkmalen im Verkaufsprospekt aufgelistet w</w:t>
      </w:r>
      <w:r w:rsidR="00A57BD1" w:rsidRPr="0080236B">
        <w:t>ü</w:t>
      </w:r>
      <w:r w:rsidRPr="0080236B">
        <w:t xml:space="preserve">rden.    </w:t>
      </w:r>
    </w:p>
    <w:p w14:paraId="4879E792" w14:textId="77777777" w:rsidR="005F24D7" w:rsidRPr="0080236B" w:rsidRDefault="005F24D7" w:rsidP="005F24D7">
      <w:pPr>
        <w:pStyle w:val="Bearb-Hinweis"/>
        <w:pBdr>
          <w:top w:val="single" w:sz="4" w:space="1" w:color="auto"/>
          <w:left w:val="single" w:sz="4" w:space="4" w:color="auto"/>
          <w:bottom w:val="single" w:sz="4" w:space="1" w:color="auto"/>
          <w:right w:val="single" w:sz="4" w:space="4" w:color="auto"/>
        </w:pBdr>
        <w:spacing w:after="0"/>
      </w:pPr>
    </w:p>
    <w:p w14:paraId="07B59B04" w14:textId="77777777" w:rsidR="005F24D7" w:rsidRPr="000D6DEF" w:rsidRDefault="005F24D7" w:rsidP="005F24D7">
      <w:pPr>
        <w:pStyle w:val="Bearb-Hinweis"/>
        <w:pBdr>
          <w:top w:val="single" w:sz="4" w:space="1" w:color="auto"/>
          <w:left w:val="single" w:sz="4" w:space="4" w:color="auto"/>
          <w:bottom w:val="single" w:sz="4" w:space="1" w:color="auto"/>
          <w:right w:val="single" w:sz="4" w:space="4" w:color="auto"/>
        </w:pBdr>
        <w:spacing w:after="0"/>
        <w:rPr>
          <w:b/>
        </w:rPr>
      </w:pPr>
      <w:r w:rsidRPr="0080236B">
        <w:lastRenderedPageBreak/>
        <w:t xml:space="preserve">Der Formulierungsvorschlag geht davon aus, dass die Beschränkung auf einen steuerbefreiten Anlegerkreis </w:t>
      </w:r>
      <w:r w:rsidR="006E1D9C">
        <w:t>zwingendes</w:t>
      </w:r>
      <w:r w:rsidR="006E1D9C" w:rsidRPr="0080236B">
        <w:t xml:space="preserve"> </w:t>
      </w:r>
      <w:r w:rsidRPr="0080236B">
        <w:t xml:space="preserve">Unterscheidungsmerkmal der Anteilklassen ist. </w:t>
      </w:r>
      <w:r w:rsidR="00477DD7">
        <w:t>D</w:t>
      </w:r>
      <w:r w:rsidRPr="0080236B">
        <w:t xml:space="preserve">ieses Merkmal </w:t>
      </w:r>
      <w:r w:rsidR="00477DD7">
        <w:t xml:space="preserve">kann </w:t>
      </w:r>
      <w:r w:rsidRPr="0080236B">
        <w:t>mit anderen unterschiedlichen Ausgestaltungen kombinier</w:t>
      </w:r>
      <w:r w:rsidR="00477DD7">
        <w:t>t werden</w:t>
      </w:r>
      <w:r w:rsidRPr="0080236B">
        <w:t xml:space="preserve">. </w:t>
      </w:r>
      <w:r>
        <w:t xml:space="preserve">   </w:t>
      </w:r>
    </w:p>
    <w:p w14:paraId="5D08AD29" w14:textId="77777777" w:rsidR="005F24D7" w:rsidRDefault="005F24D7">
      <w:pPr>
        <w:pStyle w:val="BAKred-Standard"/>
      </w:pPr>
    </w:p>
    <w:p w14:paraId="30E7ED64" w14:textId="77777777" w:rsidR="00693BAB" w:rsidRDefault="0083340A">
      <w:pPr>
        <w:pStyle w:val="Paragr-berschr"/>
      </w:pPr>
      <w:r>
        <w:t xml:space="preserve">ANTEILE, </w:t>
      </w:r>
      <w:r w:rsidR="00693BAB">
        <w:t>AUSGABEPREIS, RÜCKNAHMEPREIS, RÜCKNAHME VON ANTEILEN UND KOSTEN</w:t>
      </w:r>
    </w:p>
    <w:p w14:paraId="4C8AD398" w14:textId="77777777" w:rsidR="00693BAB" w:rsidRDefault="00693BAB">
      <w:pPr>
        <w:pStyle w:val="Paragr-berschr"/>
      </w:pPr>
      <w:r>
        <w:t>Baustein 5</w:t>
      </w:r>
      <w:r>
        <w:br/>
        <w:t>Anteile</w:t>
      </w:r>
    </w:p>
    <w:p w14:paraId="04E445E4" w14:textId="77777777" w:rsidR="00693BAB" w:rsidRDefault="00693BAB" w:rsidP="00D0139A">
      <w:pPr>
        <w:pStyle w:val="Bearb-Hinweis"/>
        <w:pBdr>
          <w:top w:val="single" w:sz="4" w:space="1" w:color="auto"/>
          <w:left w:val="single" w:sz="4" w:space="4" w:color="auto"/>
          <w:bottom w:val="single" w:sz="4" w:space="1" w:color="auto"/>
          <w:right w:val="single" w:sz="4" w:space="4" w:color="auto"/>
        </w:pBdr>
      </w:pPr>
      <w:r>
        <w:rPr>
          <w:u w:val="single"/>
        </w:rPr>
        <w:t>Bearbeiterhinweis</w:t>
      </w:r>
      <w:r>
        <w:t>:</w:t>
      </w:r>
    </w:p>
    <w:p w14:paraId="4459DCDF" w14:textId="77777777" w:rsidR="001E4E3A" w:rsidRDefault="00E45ADB" w:rsidP="00D0139A">
      <w:pPr>
        <w:pStyle w:val="Bearb-Hinweis"/>
        <w:pBdr>
          <w:top w:val="single" w:sz="4" w:space="1" w:color="auto"/>
          <w:left w:val="single" w:sz="4" w:space="4" w:color="auto"/>
          <w:bottom w:val="single" w:sz="4" w:space="1" w:color="auto"/>
          <w:right w:val="single" w:sz="4" w:space="4" w:color="auto"/>
        </w:pBdr>
      </w:pPr>
      <w:r>
        <w:t xml:space="preserve">1. </w:t>
      </w:r>
      <w:r w:rsidR="00693BAB">
        <w:t xml:space="preserve">Haben die Anleger Miteigentum an dem </w:t>
      </w:r>
      <w:r w:rsidR="00B60284">
        <w:t>OGAW-</w:t>
      </w:r>
      <w:r w:rsidR="00693BAB">
        <w:t>Sondervermögen, ist wie folgt zu formulieren:</w:t>
      </w:r>
    </w:p>
    <w:p w14:paraId="467B34D2" w14:textId="77777777" w:rsidR="001E4E3A" w:rsidRDefault="00693BAB" w:rsidP="00D0139A">
      <w:pPr>
        <w:pStyle w:val="Bearb-Hinweis"/>
        <w:pBdr>
          <w:top w:val="single" w:sz="4" w:space="1" w:color="auto"/>
          <w:left w:val="single" w:sz="4" w:space="4" w:color="auto"/>
          <w:bottom w:val="single" w:sz="4" w:space="1" w:color="auto"/>
          <w:right w:val="single" w:sz="4" w:space="4" w:color="auto"/>
        </w:pBdr>
        <w:rPr>
          <w:b/>
        </w:rPr>
      </w:pPr>
      <w:r>
        <w:rPr>
          <w:b/>
        </w:rPr>
        <w:t xml:space="preserve">„Die Anleger sind an den jeweiligen Vermögensgegenständen des </w:t>
      </w:r>
      <w:r w:rsidR="000B643E">
        <w:rPr>
          <w:b/>
        </w:rPr>
        <w:t>OGAW-</w:t>
      </w:r>
      <w:r>
        <w:rPr>
          <w:b/>
        </w:rPr>
        <w:t>Sondervermögens in Höhe ihrer Anteile als Miteigentümer nach Bruchteilen beteiligt.“</w:t>
      </w:r>
    </w:p>
    <w:p w14:paraId="7FA64602" w14:textId="77777777" w:rsidR="001E4E3A" w:rsidRDefault="00693BAB" w:rsidP="00D0139A">
      <w:pPr>
        <w:pStyle w:val="Bearb-Hinweis"/>
        <w:pBdr>
          <w:top w:val="single" w:sz="4" w:space="1" w:color="auto"/>
          <w:left w:val="single" w:sz="4" w:space="4" w:color="auto"/>
          <w:bottom w:val="single" w:sz="4" w:space="1" w:color="auto"/>
          <w:right w:val="single" w:sz="4" w:space="4" w:color="auto"/>
        </w:pBdr>
      </w:pPr>
      <w:r>
        <w:t xml:space="preserve">Verwaltet die Gesellschaft das </w:t>
      </w:r>
      <w:r w:rsidR="00B60284">
        <w:t>OGAW-</w:t>
      </w:r>
      <w:r>
        <w:t>Sondervermögen als Treuhandvermögen, ist wie folgt zu formulieren:</w:t>
      </w:r>
    </w:p>
    <w:p w14:paraId="28D8C63F" w14:textId="77777777" w:rsidR="00693BAB" w:rsidRDefault="00693BAB" w:rsidP="00D0139A">
      <w:pPr>
        <w:pStyle w:val="Bearb-Hinweis"/>
        <w:pBdr>
          <w:top w:val="single" w:sz="4" w:space="1" w:color="auto"/>
          <w:left w:val="single" w:sz="4" w:space="4" w:color="auto"/>
          <w:bottom w:val="single" w:sz="4" w:space="1" w:color="auto"/>
          <w:right w:val="single" w:sz="4" w:space="4" w:color="auto"/>
        </w:pBdr>
        <w:rPr>
          <w:b/>
        </w:rPr>
      </w:pPr>
      <w:r>
        <w:rPr>
          <w:b/>
        </w:rPr>
        <w:t xml:space="preserve">„Die Anleger sind an den jeweiligen Vermögensgegenständen des </w:t>
      </w:r>
      <w:r w:rsidR="00B60284">
        <w:rPr>
          <w:b/>
        </w:rPr>
        <w:t>OGAW-</w:t>
      </w:r>
      <w:r>
        <w:rPr>
          <w:b/>
        </w:rPr>
        <w:t>Sondervermögens in Höhe ihrer Anteile als Gläubiger nach Bruchteilen beteiligt.“</w:t>
      </w:r>
    </w:p>
    <w:p w14:paraId="1F3A1AC2" w14:textId="77777777" w:rsidR="00C72BB0" w:rsidRPr="00ED6CAA" w:rsidRDefault="00AB51EC" w:rsidP="00D0139A">
      <w:pPr>
        <w:pStyle w:val="Bearb-Hinweis"/>
        <w:pBdr>
          <w:top w:val="single" w:sz="4" w:space="1" w:color="auto"/>
          <w:left w:val="single" w:sz="4" w:space="4" w:color="auto"/>
          <w:bottom w:val="single" w:sz="4" w:space="1" w:color="auto"/>
          <w:right w:val="single" w:sz="4" w:space="4" w:color="auto"/>
        </w:pBdr>
        <w:rPr>
          <w:color w:val="000000" w:themeColor="text1"/>
        </w:rPr>
      </w:pPr>
      <w:r>
        <w:t xml:space="preserve">2. </w:t>
      </w:r>
      <w:r w:rsidR="00640A59" w:rsidRPr="00ED6CAA">
        <w:rPr>
          <w:color w:val="000000" w:themeColor="text1"/>
        </w:rPr>
        <w:t xml:space="preserve">In den Anlagebedingungen können Voraussetzungen genannt werden, die ein Anleger erfüllen muss, um Anleger des </w:t>
      </w:r>
      <w:r w:rsidRPr="00ED6CAA">
        <w:rPr>
          <w:color w:val="000000" w:themeColor="text1"/>
        </w:rPr>
        <w:t>OGAW-</w:t>
      </w:r>
      <w:r w:rsidR="00640A59" w:rsidRPr="00ED6CAA">
        <w:rPr>
          <w:color w:val="000000" w:themeColor="text1"/>
        </w:rPr>
        <w:t xml:space="preserve">Sondervermögens oder einer bestimmten Anteilklasse werden und </w:t>
      </w:r>
      <w:r w:rsidR="00115F7D" w:rsidRPr="00ED6CAA">
        <w:rPr>
          <w:color w:val="000000" w:themeColor="text1"/>
        </w:rPr>
        <w:t xml:space="preserve">anschließend </w:t>
      </w:r>
      <w:r w:rsidR="00640A59" w:rsidRPr="00ED6CAA">
        <w:rPr>
          <w:color w:val="000000" w:themeColor="text1"/>
        </w:rPr>
        <w:t>bleiben zu können.</w:t>
      </w:r>
      <w:r w:rsidR="008A21CD" w:rsidRPr="00ED6CAA">
        <w:rPr>
          <w:color w:val="000000" w:themeColor="text1"/>
        </w:rPr>
        <w:t xml:space="preserve"> </w:t>
      </w:r>
      <w:r w:rsidR="00EC5153" w:rsidRPr="00ED6CAA">
        <w:rPr>
          <w:color w:val="000000" w:themeColor="text1"/>
        </w:rPr>
        <w:lastRenderedPageBreak/>
        <w:t xml:space="preserve">Ebenso können umgekehrt Tatbestände genannt werden, bei deren Vorliegen ein Anleger Anteile am Fonds nicht erwerben bzw. nicht mehr halten darf. </w:t>
      </w:r>
      <w:r w:rsidR="004E6C70" w:rsidRPr="00ED6CAA">
        <w:rPr>
          <w:color w:val="000000" w:themeColor="text1"/>
        </w:rPr>
        <w:t xml:space="preserve">Dem Anleger sind auch </w:t>
      </w:r>
      <w:r w:rsidR="00640A59" w:rsidRPr="00ED6CAA">
        <w:rPr>
          <w:color w:val="000000" w:themeColor="text1"/>
        </w:rPr>
        <w:t>die Folgen darzustellen</w:t>
      </w:r>
      <w:r w:rsidR="00F81919" w:rsidRPr="00ED6CAA">
        <w:rPr>
          <w:color w:val="000000" w:themeColor="text1"/>
        </w:rPr>
        <w:t xml:space="preserve">, wenn er </w:t>
      </w:r>
      <w:r w:rsidR="004E6C70" w:rsidRPr="00ED6CAA">
        <w:rPr>
          <w:color w:val="000000" w:themeColor="text1"/>
        </w:rPr>
        <w:t xml:space="preserve">zwar </w:t>
      </w:r>
      <w:r w:rsidR="001E55D4" w:rsidRPr="00ED6CAA">
        <w:rPr>
          <w:color w:val="000000" w:themeColor="text1"/>
        </w:rPr>
        <w:t xml:space="preserve">Anteile hält, </w:t>
      </w:r>
      <w:r w:rsidR="00F81919" w:rsidRPr="00ED6CAA">
        <w:rPr>
          <w:color w:val="000000" w:themeColor="text1"/>
        </w:rPr>
        <w:t>die</w:t>
      </w:r>
      <w:r w:rsidR="00EC5153" w:rsidRPr="00ED6CAA">
        <w:rPr>
          <w:color w:val="000000" w:themeColor="text1"/>
        </w:rPr>
        <w:t xml:space="preserve"> vorgenannten</w:t>
      </w:r>
      <w:r w:rsidR="00F81919" w:rsidRPr="00ED6CAA">
        <w:rPr>
          <w:color w:val="000000" w:themeColor="text1"/>
        </w:rPr>
        <w:t xml:space="preserve"> Voraussetzungen </w:t>
      </w:r>
      <w:r w:rsidR="001E55D4" w:rsidRPr="00ED6CAA">
        <w:rPr>
          <w:color w:val="000000" w:themeColor="text1"/>
        </w:rPr>
        <w:t xml:space="preserve">jedoch </w:t>
      </w:r>
      <w:r w:rsidR="00F81919" w:rsidRPr="00ED6CAA">
        <w:rPr>
          <w:color w:val="000000" w:themeColor="text1"/>
        </w:rPr>
        <w:t>nicht oder nicht mehr erfüllt</w:t>
      </w:r>
      <w:r w:rsidR="00EC5153" w:rsidRPr="00ED6CAA">
        <w:rPr>
          <w:color w:val="000000" w:themeColor="text1"/>
        </w:rPr>
        <w:t xml:space="preserve"> bzw. wenn die vorgenannten Tatbestände verwirklicht </w:t>
      </w:r>
      <w:r w:rsidR="00FA2886" w:rsidRPr="00ED6CAA">
        <w:rPr>
          <w:color w:val="000000" w:themeColor="text1"/>
        </w:rPr>
        <w:t>werden</w:t>
      </w:r>
      <w:r w:rsidR="00812D00" w:rsidRPr="00ED6CAA">
        <w:rPr>
          <w:color w:val="000000" w:themeColor="text1"/>
        </w:rPr>
        <w:t xml:space="preserve">. Diese Folgen können z.B. die </w:t>
      </w:r>
      <w:r w:rsidR="00640A59" w:rsidRPr="00ED6CAA">
        <w:rPr>
          <w:color w:val="000000" w:themeColor="text1"/>
        </w:rPr>
        <w:t xml:space="preserve">Kündigung </w:t>
      </w:r>
      <w:r w:rsidRPr="00ED6CAA">
        <w:rPr>
          <w:color w:val="000000" w:themeColor="text1"/>
        </w:rPr>
        <w:t xml:space="preserve">des Rechtsverhältnisses </w:t>
      </w:r>
      <w:r w:rsidR="004E6C70" w:rsidRPr="00ED6CAA">
        <w:rPr>
          <w:color w:val="000000" w:themeColor="text1"/>
        </w:rPr>
        <w:t xml:space="preserve">mit dem Anleger </w:t>
      </w:r>
      <w:r w:rsidR="00640A59" w:rsidRPr="00ED6CAA">
        <w:rPr>
          <w:color w:val="000000" w:themeColor="text1"/>
        </w:rPr>
        <w:t>durch die Gesellsc</w:t>
      </w:r>
      <w:r w:rsidRPr="00ED6CAA">
        <w:rPr>
          <w:color w:val="000000" w:themeColor="text1"/>
        </w:rPr>
        <w:t>h</w:t>
      </w:r>
      <w:r w:rsidR="00640A59" w:rsidRPr="00ED6CAA">
        <w:rPr>
          <w:color w:val="000000" w:themeColor="text1"/>
        </w:rPr>
        <w:t xml:space="preserve">aft </w:t>
      </w:r>
      <w:r w:rsidRPr="00ED6CAA">
        <w:rPr>
          <w:color w:val="000000" w:themeColor="text1"/>
        </w:rPr>
        <w:t xml:space="preserve">und </w:t>
      </w:r>
      <w:r w:rsidR="00812D00" w:rsidRPr="00ED6CAA">
        <w:rPr>
          <w:color w:val="000000" w:themeColor="text1"/>
        </w:rPr>
        <w:t xml:space="preserve">die </w:t>
      </w:r>
      <w:r w:rsidRPr="00ED6CAA">
        <w:rPr>
          <w:color w:val="000000" w:themeColor="text1"/>
        </w:rPr>
        <w:t>Pflicht des Anlegers zur Rückgabe der Anteile</w:t>
      </w:r>
      <w:r w:rsidR="00812D00" w:rsidRPr="00ED6CAA">
        <w:rPr>
          <w:color w:val="000000" w:themeColor="text1"/>
        </w:rPr>
        <w:t xml:space="preserve"> sein</w:t>
      </w:r>
      <w:r w:rsidRPr="00ED6CAA">
        <w:rPr>
          <w:color w:val="000000" w:themeColor="text1"/>
        </w:rPr>
        <w:t>.</w:t>
      </w:r>
      <w:r w:rsidR="008A21CD" w:rsidRPr="00ED6CAA">
        <w:rPr>
          <w:color w:val="000000" w:themeColor="text1"/>
        </w:rPr>
        <w:t xml:space="preserve"> </w:t>
      </w:r>
    </w:p>
    <w:p w14:paraId="13213CFA" w14:textId="77777777" w:rsidR="002A0208" w:rsidRPr="00ED6CAA" w:rsidRDefault="00D82474" w:rsidP="00D0139A">
      <w:pPr>
        <w:pStyle w:val="Bearb-Hinweis"/>
        <w:pBdr>
          <w:top w:val="single" w:sz="4" w:space="1" w:color="auto"/>
          <w:left w:val="single" w:sz="4" w:space="4" w:color="auto"/>
          <w:bottom w:val="single" w:sz="4" w:space="1" w:color="auto"/>
          <w:right w:val="single" w:sz="4" w:space="4" w:color="auto"/>
        </w:pBdr>
        <w:rPr>
          <w:color w:val="000000" w:themeColor="text1"/>
        </w:rPr>
      </w:pPr>
      <w:r w:rsidRPr="00ED6CAA">
        <w:rPr>
          <w:color w:val="000000" w:themeColor="text1"/>
        </w:rPr>
        <w:t xml:space="preserve">Beispiele für </w:t>
      </w:r>
      <w:r w:rsidR="00BC767D" w:rsidRPr="00ED6CAA">
        <w:rPr>
          <w:color w:val="000000" w:themeColor="text1"/>
        </w:rPr>
        <w:t>solche</w:t>
      </w:r>
      <w:r w:rsidRPr="00ED6CAA">
        <w:rPr>
          <w:color w:val="000000" w:themeColor="text1"/>
        </w:rPr>
        <w:t xml:space="preserve"> Voraussetzungen</w:t>
      </w:r>
      <w:r w:rsidR="002A0208" w:rsidRPr="00ED6CAA">
        <w:rPr>
          <w:color w:val="000000" w:themeColor="text1"/>
        </w:rPr>
        <w:t xml:space="preserve"> </w:t>
      </w:r>
      <w:r w:rsidR="00EC5153" w:rsidRPr="00ED6CAA">
        <w:rPr>
          <w:color w:val="000000" w:themeColor="text1"/>
        </w:rPr>
        <w:t xml:space="preserve">und Tatbestände </w:t>
      </w:r>
      <w:r w:rsidRPr="00ED6CAA">
        <w:rPr>
          <w:color w:val="000000" w:themeColor="text1"/>
        </w:rPr>
        <w:t>sind</w:t>
      </w:r>
      <w:r w:rsidR="002A0208" w:rsidRPr="00ED6CAA">
        <w:rPr>
          <w:color w:val="000000" w:themeColor="text1"/>
        </w:rPr>
        <w:t xml:space="preserve"> </w:t>
      </w:r>
      <w:r w:rsidRPr="00ED6CAA">
        <w:rPr>
          <w:color w:val="000000" w:themeColor="text1"/>
        </w:rPr>
        <w:t>unter anderem:</w:t>
      </w:r>
      <w:r w:rsidR="002A0208" w:rsidRPr="00ED6CAA">
        <w:rPr>
          <w:color w:val="000000" w:themeColor="text1"/>
        </w:rPr>
        <w:t xml:space="preserve"> </w:t>
      </w:r>
    </w:p>
    <w:p w14:paraId="7D2CF4A5" w14:textId="77777777" w:rsidR="004E6C70" w:rsidRPr="00ED6CAA" w:rsidRDefault="00941E36" w:rsidP="00D0139A">
      <w:pPr>
        <w:pStyle w:val="Bearb-Hinweis"/>
        <w:pBdr>
          <w:top w:val="single" w:sz="4" w:space="1" w:color="auto"/>
          <w:left w:val="single" w:sz="4" w:space="4" w:color="auto"/>
          <w:bottom w:val="single" w:sz="4" w:space="1" w:color="auto"/>
          <w:right w:val="single" w:sz="4" w:space="4" w:color="auto"/>
        </w:pBdr>
        <w:rPr>
          <w:color w:val="000000" w:themeColor="text1"/>
        </w:rPr>
      </w:pPr>
      <w:r w:rsidRPr="00ED6CAA">
        <w:rPr>
          <w:color w:val="000000" w:themeColor="text1"/>
        </w:rPr>
        <w:t xml:space="preserve">a) </w:t>
      </w:r>
      <w:r w:rsidR="004E6C70" w:rsidRPr="00ED6CAA">
        <w:rPr>
          <w:color w:val="000000" w:themeColor="text1"/>
        </w:rPr>
        <w:t>Fonds/Anteilklassen für steuerbefreite Anleger</w:t>
      </w:r>
    </w:p>
    <w:p w14:paraId="40B25620" w14:textId="77777777" w:rsidR="00312577" w:rsidRPr="0080236B" w:rsidRDefault="00312577" w:rsidP="00D0139A">
      <w:pPr>
        <w:pStyle w:val="Bearb-Hinweis"/>
        <w:pBdr>
          <w:top w:val="single" w:sz="4" w:space="1" w:color="auto"/>
          <w:left w:val="single" w:sz="4" w:space="4" w:color="auto"/>
          <w:bottom w:val="single" w:sz="4" w:space="1" w:color="auto"/>
          <w:right w:val="single" w:sz="4" w:space="4" w:color="auto"/>
        </w:pBdr>
        <w:rPr>
          <w:u w:val="single"/>
        </w:rPr>
      </w:pPr>
      <w:r>
        <w:t xml:space="preserve">Sofern </w:t>
      </w:r>
      <w:r w:rsidR="00AB6CF4">
        <w:t xml:space="preserve">das </w:t>
      </w:r>
      <w:r>
        <w:t>OGAW-</w:t>
      </w:r>
      <w:r w:rsidRPr="0080236B">
        <w:t xml:space="preserve">Sondervermögen </w:t>
      </w:r>
      <w:r w:rsidR="00AB6CF4" w:rsidRPr="0080236B">
        <w:t xml:space="preserve">oder eine seiner Anteilklassen </w:t>
      </w:r>
      <w:r w:rsidRPr="0080236B">
        <w:t>die Voraussetzungen des § 10 Inv</w:t>
      </w:r>
      <w:r w:rsidR="009A307C" w:rsidRPr="0080236B">
        <w:t>St</w:t>
      </w:r>
      <w:r w:rsidRPr="0080236B">
        <w:t>G für eine Steuerbefreiung erfüllen soll, ist der Anlegerkreis mit einer der folgenden Formulierungsvorschläge zu begrenzen. Es ist auch möglich, beide Formulierungsvorschläge, d.h. beide Gruppen von Anlegern, zu kombinieren.</w:t>
      </w:r>
      <w:r w:rsidR="00AB6CF4" w:rsidRPr="0080236B">
        <w:t xml:space="preserve"> </w:t>
      </w:r>
      <w:r w:rsidR="00AB6CF4" w:rsidRPr="0080236B">
        <w:rPr>
          <w:u w:val="single"/>
        </w:rPr>
        <w:t xml:space="preserve">Zu beachten ist allerdings, dass nicht das </w:t>
      </w:r>
      <w:r w:rsidR="00AB6CF4" w:rsidRPr="0080236B">
        <w:rPr>
          <w:b/>
          <w:u w:val="single"/>
        </w:rPr>
        <w:t>gesamte</w:t>
      </w:r>
      <w:r w:rsidR="00AB6CF4" w:rsidRPr="0080236B">
        <w:rPr>
          <w:u w:val="single"/>
        </w:rPr>
        <w:t xml:space="preserve"> OGAW-Sondervermögen (also ohne Bildung von Anteilklassen oder bei allen bestehenden Anteilklassen) </w:t>
      </w:r>
      <w:r w:rsidR="00AB6CF4" w:rsidRPr="0080236B">
        <w:rPr>
          <w:b/>
          <w:u w:val="single"/>
        </w:rPr>
        <w:t xml:space="preserve">ausschließlich </w:t>
      </w:r>
      <w:r w:rsidR="00AB6CF4" w:rsidRPr="0080236B">
        <w:rPr>
          <w:u w:val="single"/>
        </w:rPr>
        <w:t xml:space="preserve">auf die in der nachfolgenden </w:t>
      </w:r>
      <w:r w:rsidR="00AB6CF4" w:rsidRPr="0080236B">
        <w:rPr>
          <w:b/>
          <w:u w:val="single"/>
        </w:rPr>
        <w:t xml:space="preserve">ersten </w:t>
      </w:r>
      <w:r w:rsidR="00AB6CF4" w:rsidRPr="0080236B">
        <w:rPr>
          <w:u w:val="single"/>
        </w:rPr>
        <w:t xml:space="preserve">Variante genannten Anleger beschränkt werden darf. </w:t>
      </w:r>
      <w:r w:rsidRPr="0080236B">
        <w:rPr>
          <w:u w:val="single"/>
        </w:rPr>
        <w:t xml:space="preserve"> </w:t>
      </w:r>
    </w:p>
    <w:p w14:paraId="149EF0F4" w14:textId="77777777" w:rsidR="000436AE" w:rsidRDefault="000436AE" w:rsidP="00D0139A">
      <w:pPr>
        <w:pStyle w:val="Bearb-Hinweis"/>
        <w:pBdr>
          <w:top w:val="single" w:sz="4" w:space="1" w:color="auto"/>
          <w:left w:val="single" w:sz="4" w:space="4" w:color="auto"/>
          <w:bottom w:val="single" w:sz="4" w:space="1" w:color="auto"/>
          <w:right w:val="single" w:sz="4" w:space="4" w:color="auto"/>
        </w:pBdr>
        <w:rPr>
          <w:b/>
        </w:rPr>
      </w:pPr>
      <w:r w:rsidRPr="0080236B">
        <w:rPr>
          <w:b/>
        </w:rPr>
        <w:t xml:space="preserve">„Anteile an </w:t>
      </w:r>
      <w:r w:rsidR="001E4058" w:rsidRPr="0080236B">
        <w:rPr>
          <w:b/>
        </w:rPr>
        <w:t>&lt;</w:t>
      </w:r>
      <w:r w:rsidRPr="0080236B">
        <w:rPr>
          <w:b/>
        </w:rPr>
        <w:t>dem OGAW-Sondervermögen</w:t>
      </w:r>
      <w:r w:rsidR="001E4058" w:rsidRPr="0080236B">
        <w:rPr>
          <w:b/>
        </w:rPr>
        <w:t xml:space="preserve"> / der Anteilklasse „A“&gt; </w:t>
      </w:r>
      <w:r w:rsidRPr="0080236B">
        <w:rPr>
          <w:b/>
        </w:rPr>
        <w:t>dürfen nur erworben und gehalten werden von</w:t>
      </w:r>
    </w:p>
    <w:p w14:paraId="308E86A0" w14:textId="77777777" w:rsidR="00B1238B" w:rsidRDefault="000436AE" w:rsidP="00D0139A">
      <w:pPr>
        <w:pStyle w:val="Bearb-Hinweis"/>
        <w:pBdr>
          <w:top w:val="single" w:sz="4" w:space="1" w:color="auto"/>
          <w:left w:val="single" w:sz="4" w:space="4" w:color="auto"/>
          <w:bottom w:val="single" w:sz="4" w:space="1" w:color="auto"/>
          <w:right w:val="single" w:sz="4" w:space="4" w:color="auto"/>
        </w:pBdr>
        <w:rPr>
          <w:b/>
        </w:rPr>
      </w:pPr>
      <w:r>
        <w:rPr>
          <w:b/>
        </w:rPr>
        <w:t xml:space="preserve">- </w:t>
      </w:r>
      <w:bookmarkStart w:id="3" w:name="_Hlk126934503"/>
      <w:r w:rsidR="004030E1" w:rsidRPr="008B1E83">
        <w:rPr>
          <w:b/>
        </w:rPr>
        <w:t>inländischen</w:t>
      </w:r>
      <w:r w:rsidR="004030E1">
        <w:rPr>
          <w:b/>
        </w:rPr>
        <w:t xml:space="preserve"> </w:t>
      </w:r>
      <w:r>
        <w:rPr>
          <w:b/>
        </w:rPr>
        <w:t xml:space="preserve">Körperschaften, Personenvereinigungen oder Vermögensmassen, </w:t>
      </w:r>
      <w:bookmarkEnd w:id="3"/>
      <w:r>
        <w:rPr>
          <w:b/>
        </w:rPr>
        <w:t>die nach der Satzung, dem Stiftungsgeschäft oder der sonstigen Verfassung und nach der tatsächlichen Geschäftsführung ausschließlich und unmittelbar</w:t>
      </w:r>
      <w:r w:rsidR="00B1238B">
        <w:rPr>
          <w:b/>
        </w:rPr>
        <w:t xml:space="preserve"> gemeinnützigen, mildtätigen oder kirchlichen Zwecken i</w:t>
      </w:r>
      <w:r w:rsidR="009A307C">
        <w:rPr>
          <w:b/>
        </w:rPr>
        <w:t>m</w:t>
      </w:r>
      <w:r w:rsidR="00B1238B">
        <w:rPr>
          <w:b/>
        </w:rPr>
        <w:t xml:space="preserve"> S</w:t>
      </w:r>
      <w:r w:rsidR="009A307C">
        <w:rPr>
          <w:b/>
        </w:rPr>
        <w:t>inne</w:t>
      </w:r>
      <w:r w:rsidR="00B1238B">
        <w:rPr>
          <w:b/>
        </w:rPr>
        <w:t xml:space="preserve"> d</w:t>
      </w:r>
      <w:r w:rsidR="009A307C">
        <w:rPr>
          <w:b/>
        </w:rPr>
        <w:t>er</w:t>
      </w:r>
      <w:r w:rsidR="00B1238B">
        <w:rPr>
          <w:b/>
        </w:rPr>
        <w:t xml:space="preserve"> §§ 51 bis 68 der Abgabenordnung dienen</w:t>
      </w:r>
      <w:r w:rsidR="003579B4">
        <w:rPr>
          <w:b/>
        </w:rPr>
        <w:t xml:space="preserve"> und die die Anteile nicht in einem wirtschaftlichen Geschäftsbetrieb halten</w:t>
      </w:r>
      <w:r w:rsidR="00B1238B">
        <w:rPr>
          <w:b/>
        </w:rPr>
        <w:t>;</w:t>
      </w:r>
    </w:p>
    <w:p w14:paraId="66CF74A0" w14:textId="77777777" w:rsidR="00B1238B" w:rsidRDefault="00B1238B" w:rsidP="00D0139A">
      <w:pPr>
        <w:pStyle w:val="Bearb-Hinweis"/>
        <w:pBdr>
          <w:top w:val="single" w:sz="4" w:space="1" w:color="auto"/>
          <w:left w:val="single" w:sz="4" w:space="4" w:color="auto"/>
          <w:bottom w:val="single" w:sz="4" w:space="1" w:color="auto"/>
          <w:right w:val="single" w:sz="4" w:space="4" w:color="auto"/>
        </w:pBdr>
        <w:rPr>
          <w:b/>
        </w:rPr>
      </w:pPr>
      <w:r>
        <w:rPr>
          <w:b/>
        </w:rPr>
        <w:lastRenderedPageBreak/>
        <w:t xml:space="preserve">- </w:t>
      </w:r>
      <w:r w:rsidR="004030E1" w:rsidRPr="008B1E83">
        <w:rPr>
          <w:b/>
        </w:rPr>
        <w:t>inländischen</w:t>
      </w:r>
      <w:r w:rsidR="004030E1">
        <w:rPr>
          <w:b/>
        </w:rPr>
        <w:t xml:space="preserve"> </w:t>
      </w:r>
      <w:r>
        <w:rPr>
          <w:b/>
        </w:rPr>
        <w:t xml:space="preserve">Stiftungen des öffentlichen Rechts, die ausschließlich und unmittelbar gemeinnützigen oder mildtätigen Zwecken dienen; </w:t>
      </w:r>
      <w:r w:rsidR="000436AE">
        <w:rPr>
          <w:b/>
        </w:rPr>
        <w:t xml:space="preserve"> </w:t>
      </w:r>
    </w:p>
    <w:p w14:paraId="3FBA096C" w14:textId="77777777" w:rsidR="00B1238B" w:rsidRDefault="00B1238B" w:rsidP="00D0139A">
      <w:pPr>
        <w:pStyle w:val="Bearb-Hinweis"/>
        <w:pBdr>
          <w:top w:val="single" w:sz="4" w:space="1" w:color="auto"/>
          <w:left w:val="single" w:sz="4" w:space="4" w:color="auto"/>
          <w:bottom w:val="single" w:sz="4" w:space="1" w:color="auto"/>
          <w:right w:val="single" w:sz="4" w:space="4" w:color="auto"/>
        </w:pBdr>
        <w:rPr>
          <w:b/>
        </w:rPr>
      </w:pPr>
      <w:r>
        <w:rPr>
          <w:b/>
        </w:rPr>
        <w:t xml:space="preserve">- </w:t>
      </w:r>
      <w:r w:rsidR="004030E1" w:rsidRPr="008B1E83">
        <w:rPr>
          <w:b/>
        </w:rPr>
        <w:t>inländischen</w:t>
      </w:r>
      <w:r w:rsidR="004030E1">
        <w:rPr>
          <w:b/>
        </w:rPr>
        <w:t xml:space="preserve"> </w:t>
      </w:r>
      <w:r>
        <w:rPr>
          <w:b/>
        </w:rPr>
        <w:t xml:space="preserve">juristischen </w:t>
      </w:r>
      <w:r w:rsidR="00203D1D">
        <w:rPr>
          <w:b/>
        </w:rPr>
        <w:t>P</w:t>
      </w:r>
      <w:r>
        <w:rPr>
          <w:b/>
        </w:rPr>
        <w:t>ersonen des öffentlichen Rechts, die ausschli</w:t>
      </w:r>
      <w:r w:rsidR="00203D1D">
        <w:rPr>
          <w:b/>
        </w:rPr>
        <w:t>e</w:t>
      </w:r>
      <w:r>
        <w:rPr>
          <w:b/>
        </w:rPr>
        <w:t>ßlich und unmittelbar ki</w:t>
      </w:r>
      <w:r w:rsidR="00203D1D">
        <w:rPr>
          <w:b/>
        </w:rPr>
        <w:t>r</w:t>
      </w:r>
      <w:r>
        <w:rPr>
          <w:b/>
        </w:rPr>
        <w:t>chlichen Zwecken dienen, sowie</w:t>
      </w:r>
    </w:p>
    <w:p w14:paraId="5F085245" w14:textId="77777777" w:rsidR="0047225B" w:rsidRDefault="00B1238B" w:rsidP="00D0139A">
      <w:pPr>
        <w:pStyle w:val="Bearb-Hinweis"/>
        <w:pBdr>
          <w:top w:val="single" w:sz="4" w:space="1" w:color="auto"/>
          <w:left w:val="single" w:sz="4" w:space="4" w:color="auto"/>
          <w:bottom w:val="single" w:sz="4" w:space="1" w:color="auto"/>
          <w:right w:val="single" w:sz="4" w:space="4" w:color="auto"/>
        </w:pBdr>
        <w:rPr>
          <w:b/>
        </w:rPr>
      </w:pPr>
      <w:r>
        <w:rPr>
          <w:b/>
        </w:rPr>
        <w:t>- den vorstehenden drei Spiegelstrichen vergleichbare</w:t>
      </w:r>
      <w:r w:rsidR="00EE3607" w:rsidRPr="008B1E83">
        <w:rPr>
          <w:b/>
        </w:rPr>
        <w:t>n</w:t>
      </w:r>
      <w:r>
        <w:rPr>
          <w:b/>
        </w:rPr>
        <w:t xml:space="preserve"> ausländische</w:t>
      </w:r>
      <w:r w:rsidR="00EE3607" w:rsidRPr="008B1E83">
        <w:rPr>
          <w:b/>
        </w:rPr>
        <w:t>n</w:t>
      </w:r>
      <w:r>
        <w:rPr>
          <w:b/>
        </w:rPr>
        <w:t xml:space="preserve"> Anleger</w:t>
      </w:r>
      <w:r w:rsidR="00EE3607" w:rsidRPr="008B1E83">
        <w:rPr>
          <w:b/>
        </w:rPr>
        <w:t>n</w:t>
      </w:r>
      <w:r>
        <w:rPr>
          <w:b/>
        </w:rPr>
        <w:t xml:space="preserve"> mit Sitz und Geschäftsleitung in einem Amts- und Beitreibungshilfe leistenden ausländischen Staat.</w:t>
      </w:r>
    </w:p>
    <w:p w14:paraId="5D48F955" w14:textId="35E4CD19" w:rsidR="000436AE" w:rsidRDefault="00382545" w:rsidP="00D0139A">
      <w:pPr>
        <w:pStyle w:val="Bearb-Hinweis"/>
        <w:pBdr>
          <w:top w:val="single" w:sz="4" w:space="1" w:color="auto"/>
          <w:left w:val="single" w:sz="4" w:space="4" w:color="auto"/>
          <w:bottom w:val="single" w:sz="4" w:space="1" w:color="auto"/>
          <w:right w:val="single" w:sz="4" w:space="4" w:color="auto"/>
        </w:pBdr>
        <w:rPr>
          <w:b/>
        </w:rPr>
      </w:pPr>
      <w:r>
        <w:rPr>
          <w:b/>
        </w:rPr>
        <w:t>Zum Nachweis der vorgenannten Voraussetzungen hat der Anleger der Gesellschaft eine gültige Bescheinigung nach § 9 Abs</w:t>
      </w:r>
      <w:r w:rsidR="00BA1316" w:rsidRPr="008B1E83">
        <w:rPr>
          <w:b/>
        </w:rPr>
        <w:t>atz</w:t>
      </w:r>
      <w:r>
        <w:rPr>
          <w:b/>
        </w:rPr>
        <w:t xml:space="preserve"> </w:t>
      </w:r>
      <w:r w:rsidR="00164CAE">
        <w:rPr>
          <w:b/>
        </w:rPr>
        <w:t xml:space="preserve">1 </w:t>
      </w:r>
      <w:r w:rsidR="00EF7531" w:rsidRPr="008B1E83">
        <w:rPr>
          <w:b/>
        </w:rPr>
        <w:t>Nr. 1 oder 2</w:t>
      </w:r>
      <w:r>
        <w:rPr>
          <w:b/>
        </w:rPr>
        <w:t xml:space="preserve"> Investmentsteuergesetz zu übermitteln. </w:t>
      </w:r>
      <w:r w:rsidR="0047225B">
        <w:rPr>
          <w:b/>
        </w:rPr>
        <w:t>Fallen bei einem Anleger die vorgenannten Voraussetzungen weg, so ist er verpflichtet, dies der Gesellschaft innerhalb eines Monats nach dem Wegfall mitzuteilen.</w:t>
      </w:r>
      <w:r w:rsidR="00E37958" w:rsidRPr="00E37958">
        <w:rPr>
          <w:b/>
        </w:rPr>
        <w:t xml:space="preserve"> </w:t>
      </w:r>
      <w:r w:rsidR="00E37958">
        <w:rPr>
          <w:b/>
        </w:rPr>
        <w:t xml:space="preserve">Steuerliche Befreiungsbeträge, die die Gesellschaft im Zusammenhang mit der Verwaltung des Sondervermögens </w:t>
      </w:r>
      <w:proofErr w:type="gramStart"/>
      <w:r w:rsidR="00E37958">
        <w:rPr>
          <w:b/>
        </w:rPr>
        <w:t>erhält</w:t>
      </w:r>
      <w:proofErr w:type="gramEnd"/>
      <w:r w:rsidR="00E37958">
        <w:rPr>
          <w:b/>
        </w:rPr>
        <w:t xml:space="preserve"> &lt;und die auf Erträge der Anteilklasse „A“ entfallen&gt;, sind grundsätzlich den Anlegern &lt;der Anteilklasse „A“&gt; auszuzahlen. Abweichend hiervon ist die Gesellschaft berechtigt, die Befreiungsbeträge unmittelbar dem </w:t>
      </w:r>
      <w:r w:rsidR="00E37958" w:rsidRPr="00D936F4">
        <w:rPr>
          <w:b/>
        </w:rPr>
        <w:t>Sondervermögen &lt;zugunsten der Anleger der Anteilklasse „A“&gt; zuzuführen</w:t>
      </w:r>
      <w:r w:rsidR="00E37958">
        <w:rPr>
          <w:b/>
        </w:rPr>
        <w:t>; aufgrund dieser Zuführung werden keine neuen Anteile ausgegeben. Das verwendete Verfahren wird im Verkaufsprospekt erläutert.</w:t>
      </w:r>
      <w:r w:rsidR="002D2412">
        <w:rPr>
          <w:b/>
        </w:rPr>
        <w:t>“</w:t>
      </w:r>
    </w:p>
    <w:p w14:paraId="53920AAB" w14:textId="77777777" w:rsidR="00C84A19" w:rsidRPr="00C84A19" w:rsidRDefault="00C84A19" w:rsidP="00D0139A">
      <w:pPr>
        <w:pStyle w:val="Bearb-Hinweis"/>
        <w:pBdr>
          <w:top w:val="single" w:sz="4" w:space="1" w:color="auto"/>
          <w:left w:val="single" w:sz="4" w:space="4" w:color="auto"/>
          <w:bottom w:val="single" w:sz="4" w:space="1" w:color="auto"/>
          <w:right w:val="single" w:sz="4" w:space="4" w:color="auto"/>
        </w:pBdr>
      </w:pPr>
      <w:r w:rsidRPr="00C84A19">
        <w:t>oder</w:t>
      </w:r>
    </w:p>
    <w:p w14:paraId="24B02554" w14:textId="0563F682" w:rsidR="000436AE" w:rsidRDefault="000436AE" w:rsidP="000436AE">
      <w:pPr>
        <w:pStyle w:val="Bearb-Hinweis"/>
        <w:pBdr>
          <w:top w:val="single" w:sz="4" w:space="1" w:color="auto"/>
          <w:left w:val="single" w:sz="4" w:space="4" w:color="auto"/>
          <w:bottom w:val="single" w:sz="4" w:space="1" w:color="auto"/>
          <w:right w:val="single" w:sz="4" w:space="4" w:color="auto"/>
        </w:pBdr>
        <w:rPr>
          <w:b/>
        </w:rPr>
      </w:pPr>
      <w:r w:rsidRPr="000436AE">
        <w:rPr>
          <w:b/>
        </w:rPr>
        <w:t>„</w:t>
      </w:r>
      <w:r w:rsidRPr="0080236B">
        <w:rPr>
          <w:b/>
        </w:rPr>
        <w:t xml:space="preserve">Anteile an </w:t>
      </w:r>
      <w:r w:rsidR="00733E43" w:rsidRPr="0080236B">
        <w:rPr>
          <w:b/>
        </w:rPr>
        <w:t>&lt;</w:t>
      </w:r>
      <w:r w:rsidRPr="0080236B">
        <w:rPr>
          <w:b/>
        </w:rPr>
        <w:t xml:space="preserve">dem OGAW-Sondervermögen </w:t>
      </w:r>
      <w:r w:rsidR="00733E43" w:rsidRPr="0080236B">
        <w:rPr>
          <w:b/>
        </w:rPr>
        <w:t xml:space="preserve">/ der Anteilklasse „A“&gt; </w:t>
      </w:r>
      <w:r w:rsidRPr="0080236B">
        <w:rPr>
          <w:b/>
        </w:rPr>
        <w:t>dürfen nur im Rahmen von Altersvorsorge- oder Basisrentenverträgen</w:t>
      </w:r>
      <w:r w:rsidRPr="000436AE">
        <w:rPr>
          <w:b/>
        </w:rPr>
        <w:t xml:space="preserve"> erworben und gehalten werden, die nach den §§ 5 oder 5a des Altersvorsorgeverträge-Zertifizierungsgesetzes zertifiziert wurden.</w:t>
      </w:r>
      <w:r w:rsidR="0047225B">
        <w:rPr>
          <w:b/>
        </w:rPr>
        <w:t xml:space="preserve"> </w:t>
      </w:r>
      <w:r w:rsidR="00643E56">
        <w:rPr>
          <w:b/>
        </w:rPr>
        <w:t xml:space="preserve">Zum Nachweis der vorgenannten Voraussetzung hat der </w:t>
      </w:r>
      <w:bookmarkStart w:id="4" w:name="_Hlk126934900"/>
      <w:r w:rsidR="00643E56">
        <w:rPr>
          <w:b/>
        </w:rPr>
        <w:t>Anbieter des Altersvorsorge- oder Basisrentenvertrags</w:t>
      </w:r>
      <w:bookmarkEnd w:id="4"/>
      <w:r w:rsidR="00643E56">
        <w:rPr>
          <w:b/>
        </w:rPr>
        <w:t xml:space="preserve"> der Gesellschaft mitzuteilen, dass er </w:t>
      </w:r>
      <w:r w:rsidR="00643E56">
        <w:rPr>
          <w:b/>
        </w:rPr>
        <w:lastRenderedPageBreak/>
        <w:t xml:space="preserve">die Anteile ausschließlich im Rahmen von Altersvorsorge- und Basisrentenverträgen erwirbt. </w:t>
      </w:r>
      <w:r w:rsidR="0047225B">
        <w:rPr>
          <w:b/>
        </w:rPr>
        <w:t>Fällt die vorgenannte Voraussetzung weg, so ist der Anleger verpflichtet, dies der Gesellschaft innerhalb eines Monats nach dem Wegfall mitzuteilen.</w:t>
      </w:r>
      <w:r w:rsidR="00E37958" w:rsidRPr="00E37958">
        <w:rPr>
          <w:b/>
        </w:rPr>
        <w:t xml:space="preserve"> </w:t>
      </w:r>
      <w:r w:rsidR="00E37958">
        <w:rPr>
          <w:b/>
        </w:rPr>
        <w:t xml:space="preserve">Steuerliche Befreiungsbeträge, die die Gesellschaft im Zusammenhang mit der Verwaltung des Sondervermögens </w:t>
      </w:r>
      <w:proofErr w:type="gramStart"/>
      <w:r w:rsidR="00E37958">
        <w:rPr>
          <w:b/>
        </w:rPr>
        <w:t>erhält</w:t>
      </w:r>
      <w:proofErr w:type="gramEnd"/>
      <w:r w:rsidR="00E37958">
        <w:rPr>
          <w:b/>
        </w:rPr>
        <w:t xml:space="preserve"> &lt;und die auf Erträge der Anteilklasse „A“ entfallen&gt;, sind grundsätzlich dem Anbieter des Altersvorsorge- oder Basisrentenvertrages auszuzahlen. Dieser hat sie zugunsten der Berechtigten aus dem jeweiligen Altersvorsorge- oder Basisrentenvertrag wieder anzulegen. Abweichend hiervon ist die Gesellschaft berechtigt, die Befreiungsbeträge unmittelbar dem </w:t>
      </w:r>
      <w:r w:rsidR="00E37958" w:rsidRPr="00D936F4">
        <w:rPr>
          <w:b/>
        </w:rPr>
        <w:t>Sondervermögen &lt;zugunsten der Anleger der Anteilklasse „A“&gt; zuzuführen</w:t>
      </w:r>
      <w:r w:rsidR="00E37958">
        <w:rPr>
          <w:b/>
        </w:rPr>
        <w:t>; aufgrund dieser Zuführung werden keine neuen Anteile ausgegeben. Das verwendete Verfahren wird im Verkaufsprospekt erläutert.</w:t>
      </w:r>
      <w:r w:rsidR="002D2412">
        <w:rPr>
          <w:b/>
        </w:rPr>
        <w:t>“</w:t>
      </w:r>
    </w:p>
    <w:p w14:paraId="1494CDE0" w14:textId="77777777" w:rsidR="00E25216" w:rsidRPr="00ED6CAA" w:rsidRDefault="004E6C70" w:rsidP="00E25216">
      <w:pPr>
        <w:pStyle w:val="Bearb-Hinweis"/>
        <w:pBdr>
          <w:top w:val="single" w:sz="4" w:space="1" w:color="auto"/>
          <w:left w:val="single" w:sz="4" w:space="4" w:color="auto"/>
          <w:bottom w:val="single" w:sz="4" w:space="1" w:color="auto"/>
          <w:right w:val="single" w:sz="4" w:space="4" w:color="auto"/>
        </w:pBdr>
        <w:rPr>
          <w:bCs/>
          <w:color w:val="000000" w:themeColor="text1"/>
        </w:rPr>
      </w:pPr>
      <w:r w:rsidRPr="00ED6CAA">
        <w:rPr>
          <w:bCs/>
          <w:color w:val="000000" w:themeColor="text1"/>
        </w:rPr>
        <w:t>Die Konsequenzen</w:t>
      </w:r>
      <w:r w:rsidR="00B110CD" w:rsidRPr="00ED6CAA">
        <w:rPr>
          <w:bCs/>
          <w:color w:val="000000" w:themeColor="text1"/>
        </w:rPr>
        <w:t xml:space="preserve">, wenn ein Anleger die </w:t>
      </w:r>
      <w:r w:rsidR="00E25216" w:rsidRPr="00ED6CAA">
        <w:rPr>
          <w:bCs/>
          <w:color w:val="000000" w:themeColor="text1"/>
        </w:rPr>
        <w:t>zuvor beschrieben</w:t>
      </w:r>
      <w:r w:rsidR="00B110CD" w:rsidRPr="00ED6CAA">
        <w:rPr>
          <w:bCs/>
          <w:color w:val="000000" w:themeColor="text1"/>
        </w:rPr>
        <w:t>en</w:t>
      </w:r>
      <w:r w:rsidR="00E25216" w:rsidRPr="00ED6CAA">
        <w:rPr>
          <w:bCs/>
          <w:color w:val="000000" w:themeColor="text1"/>
        </w:rPr>
        <w:t xml:space="preserve"> Voraussetzungen nicht mehr</w:t>
      </w:r>
      <w:r w:rsidR="00B110CD" w:rsidRPr="00ED6CAA">
        <w:rPr>
          <w:bCs/>
          <w:color w:val="000000" w:themeColor="text1"/>
        </w:rPr>
        <w:t xml:space="preserve"> erfüllt,</w:t>
      </w:r>
      <w:r w:rsidR="00E25216" w:rsidRPr="00ED6CAA">
        <w:rPr>
          <w:bCs/>
          <w:color w:val="000000" w:themeColor="text1"/>
        </w:rPr>
        <w:t xml:space="preserve"> </w:t>
      </w:r>
      <w:r w:rsidRPr="00ED6CAA">
        <w:rPr>
          <w:bCs/>
          <w:color w:val="000000" w:themeColor="text1"/>
        </w:rPr>
        <w:t>können wie folgt beschrieben</w:t>
      </w:r>
      <w:r w:rsidR="00F2662D" w:rsidRPr="00ED6CAA">
        <w:rPr>
          <w:bCs/>
          <w:color w:val="000000" w:themeColor="text1"/>
        </w:rPr>
        <w:t xml:space="preserve"> werden</w:t>
      </w:r>
      <w:r w:rsidR="00E25216" w:rsidRPr="00ED6CAA">
        <w:rPr>
          <w:bCs/>
          <w:color w:val="000000" w:themeColor="text1"/>
        </w:rPr>
        <w:t xml:space="preserve">: </w:t>
      </w:r>
    </w:p>
    <w:p w14:paraId="2BAAD35B" w14:textId="77777777" w:rsidR="00E25216" w:rsidRPr="00ED6CAA" w:rsidRDefault="00B45FE5" w:rsidP="00E25216">
      <w:pPr>
        <w:pStyle w:val="Bearb-Hinweis"/>
        <w:pBdr>
          <w:top w:val="single" w:sz="4" w:space="1" w:color="auto"/>
          <w:left w:val="single" w:sz="4" w:space="4" w:color="auto"/>
          <w:bottom w:val="single" w:sz="4" w:space="1" w:color="auto"/>
          <w:right w:val="single" w:sz="4" w:space="4" w:color="auto"/>
        </w:pBdr>
        <w:rPr>
          <w:b/>
          <w:color w:val="000000" w:themeColor="text1"/>
        </w:rPr>
      </w:pPr>
      <w:r w:rsidRPr="00ED6CAA">
        <w:rPr>
          <w:b/>
          <w:color w:val="000000" w:themeColor="text1"/>
        </w:rPr>
        <w:t>„</w:t>
      </w:r>
      <w:r w:rsidR="00EC5153" w:rsidRPr="00ED6CAA">
        <w:rPr>
          <w:b/>
          <w:color w:val="000000" w:themeColor="text1"/>
        </w:rPr>
        <w:t>Erfüllt ein</w:t>
      </w:r>
      <w:r w:rsidR="00E25216" w:rsidRPr="00ED6CAA">
        <w:rPr>
          <w:b/>
          <w:color w:val="000000" w:themeColor="text1"/>
        </w:rPr>
        <w:t xml:space="preserve"> Anleger die vorgenannten Voraussetzungen</w:t>
      </w:r>
      <w:r w:rsidR="00EC5153" w:rsidRPr="00ED6CAA">
        <w:rPr>
          <w:b/>
          <w:color w:val="000000" w:themeColor="text1"/>
        </w:rPr>
        <w:t xml:space="preserve"> nicht oder nicht mehr</w:t>
      </w:r>
      <w:r w:rsidR="00E25216" w:rsidRPr="00ED6CAA">
        <w:rPr>
          <w:b/>
          <w:color w:val="000000" w:themeColor="text1"/>
        </w:rPr>
        <w:t>, kann die Gesellschaft das Rechtsverhältnis mit diesem Anleger ohne Einhaltung einer Kündigungsfrist kündigen</w:t>
      </w:r>
      <w:bookmarkStart w:id="5" w:name="_Hlk127371774"/>
      <w:r w:rsidR="00E25216" w:rsidRPr="00ED6CAA">
        <w:rPr>
          <w:b/>
          <w:color w:val="000000" w:themeColor="text1"/>
        </w:rPr>
        <w:t>.</w:t>
      </w:r>
      <w:r w:rsidR="00E25216" w:rsidRPr="00ED6CAA">
        <w:rPr>
          <w:rFonts w:cs="Arial"/>
          <w:color w:val="000000" w:themeColor="text1"/>
          <w:szCs w:val="22"/>
          <w:lang w:eastAsia="en-US"/>
        </w:rPr>
        <w:t xml:space="preserve"> </w:t>
      </w:r>
      <w:r w:rsidR="00E25216" w:rsidRPr="00ED6CAA">
        <w:rPr>
          <w:b/>
          <w:color w:val="000000" w:themeColor="text1"/>
        </w:rPr>
        <w:t>Mit Zugang der Kündigung ist der Anleger verpflichtet, die erhaltenen Anteile unverzüglich an die Gesellschaft zurückzugeben. Die Gesellschaft ist verpflichtet, die Anteile zum jeweils geltenden Rücknahmepreis für Rechnung des Sondervermögens zurückzunehmen</w:t>
      </w:r>
      <w:bookmarkEnd w:id="5"/>
      <w:r w:rsidR="00E25216" w:rsidRPr="00ED6CAA">
        <w:rPr>
          <w:b/>
          <w:color w:val="000000" w:themeColor="text1"/>
        </w:rPr>
        <w:t xml:space="preserve">.“  </w:t>
      </w:r>
    </w:p>
    <w:p w14:paraId="537B20C0" w14:textId="77777777" w:rsidR="0080236B" w:rsidRDefault="00941E36" w:rsidP="000436AE">
      <w:pPr>
        <w:pStyle w:val="Bearb-Hinweis"/>
        <w:pBdr>
          <w:top w:val="single" w:sz="4" w:space="1" w:color="auto"/>
          <w:left w:val="single" w:sz="4" w:space="4" w:color="auto"/>
          <w:bottom w:val="single" w:sz="4" w:space="1" w:color="auto"/>
          <w:right w:val="single" w:sz="4" w:space="4" w:color="auto"/>
        </w:pBdr>
      </w:pPr>
      <w:bookmarkStart w:id="6" w:name="_Hlk127348709"/>
      <w:r>
        <w:t>Für eine Steuerbefreiung des OGAW-</w:t>
      </w:r>
      <w:r w:rsidRPr="0080236B">
        <w:t xml:space="preserve">Sondervermögens </w:t>
      </w:r>
      <w:r w:rsidR="00097F1D" w:rsidRPr="0080236B">
        <w:t xml:space="preserve">bzw. einer Anteilklasse </w:t>
      </w:r>
      <w:r w:rsidRPr="0080236B">
        <w:t xml:space="preserve">gemäß § 10 InvStG ist neben der Begrenzung des Anlegerkreises </w:t>
      </w:r>
      <w:bookmarkEnd w:id="6"/>
      <w:r w:rsidRPr="0080236B">
        <w:t>auch erforderlich, dass die Übertragbarkeit der Anteile ausgeschlossen wird. Bei Zuwiderhandlungen gegen das Übertragungsverbot sieht § 13 Abs</w:t>
      </w:r>
      <w:r w:rsidR="00167EF1" w:rsidRPr="0080236B">
        <w:t>atz</w:t>
      </w:r>
      <w:r w:rsidRPr="0080236B">
        <w:t xml:space="preserve"> 1 InvStG außerdem eine Informationspflicht des Anlegers vor. </w:t>
      </w:r>
      <w:r w:rsidR="00700D14" w:rsidRPr="0080236B">
        <w:t>Es kann wie folgt formuliert werden:</w:t>
      </w:r>
    </w:p>
    <w:p w14:paraId="35A445A9" w14:textId="77777777" w:rsidR="0080236B" w:rsidRDefault="0080236B" w:rsidP="000436AE">
      <w:pPr>
        <w:pStyle w:val="Bearb-Hinweis"/>
        <w:pBdr>
          <w:top w:val="single" w:sz="4" w:space="1" w:color="auto"/>
          <w:left w:val="single" w:sz="4" w:space="4" w:color="auto"/>
          <w:bottom w:val="single" w:sz="4" w:space="1" w:color="auto"/>
          <w:right w:val="single" w:sz="4" w:space="4" w:color="auto"/>
        </w:pBdr>
        <w:rPr>
          <w:b/>
        </w:rPr>
      </w:pPr>
      <w:r w:rsidRPr="0080236B">
        <w:rPr>
          <w:b/>
        </w:rPr>
        <w:lastRenderedPageBreak/>
        <w:t xml:space="preserve">„Abweichend von § 16 Absatz </w:t>
      </w:r>
      <w:r w:rsidR="002956DB">
        <w:rPr>
          <w:b/>
        </w:rPr>
        <w:t>2</w:t>
      </w:r>
      <w:r w:rsidR="005332C2">
        <w:rPr>
          <w:b/>
        </w:rPr>
        <w:t xml:space="preserve"> Satz 3</w:t>
      </w:r>
      <w:r w:rsidRPr="0080236B">
        <w:rPr>
          <w:b/>
        </w:rPr>
        <w:t xml:space="preserve"> der AABen dürfen die Anteile &lt;der Anteilklasse „A“&gt; nicht übertragen werden. Überträgt ein Anleger dennoch Anteile, so ist er verpflichtet, dies der Gesellschaft innerhalb eines Monats nach dem Übertrag mitzuteilen. Das</w:t>
      </w:r>
      <w:r>
        <w:rPr>
          <w:b/>
        </w:rPr>
        <w:t xml:space="preserve"> Recht zur Rückgabe der Anteile nur an die Gesellschaft für Rechnung des OGAW-Sondervermögens gemäß § 17 Abs</w:t>
      </w:r>
      <w:r w:rsidRPr="00356783">
        <w:rPr>
          <w:b/>
        </w:rPr>
        <w:t>atz</w:t>
      </w:r>
      <w:r>
        <w:rPr>
          <w:b/>
        </w:rPr>
        <w:t xml:space="preserve"> 3 der AABen bleibt unberührt.“</w:t>
      </w:r>
    </w:p>
    <w:p w14:paraId="7A112B0C" w14:textId="77777777" w:rsidR="004E6C70" w:rsidRPr="00ED6CAA" w:rsidRDefault="00B110CD" w:rsidP="00EC1471">
      <w:pPr>
        <w:pStyle w:val="Bearb-Hinweis"/>
        <w:pBdr>
          <w:top w:val="single" w:sz="4" w:space="1" w:color="auto"/>
          <w:left w:val="single" w:sz="4" w:space="4" w:color="auto"/>
          <w:bottom w:val="single" w:sz="4" w:space="1" w:color="auto"/>
          <w:right w:val="single" w:sz="4" w:space="4" w:color="auto"/>
        </w:pBdr>
        <w:rPr>
          <w:b/>
          <w:color w:val="000000" w:themeColor="text1"/>
        </w:rPr>
      </w:pPr>
      <w:r w:rsidRPr="00ED6CAA">
        <w:rPr>
          <w:bCs/>
          <w:color w:val="000000" w:themeColor="text1"/>
        </w:rPr>
        <w:t>b</w:t>
      </w:r>
      <w:r w:rsidR="00B6082C" w:rsidRPr="00ED6CAA">
        <w:rPr>
          <w:bCs/>
          <w:color w:val="000000" w:themeColor="text1"/>
        </w:rPr>
        <w:t>)</w:t>
      </w:r>
      <w:r w:rsidR="004E6C70" w:rsidRPr="00ED6CAA">
        <w:rPr>
          <w:bCs/>
          <w:color w:val="000000" w:themeColor="text1"/>
        </w:rPr>
        <w:t xml:space="preserve"> US-Personen</w:t>
      </w:r>
      <w:r w:rsidR="004770C9" w:rsidRPr="00ED6CAA">
        <w:rPr>
          <w:bCs/>
          <w:color w:val="000000" w:themeColor="text1"/>
        </w:rPr>
        <w:t>, in den USA steuerpflichtige Personen</w:t>
      </w:r>
      <w:r w:rsidR="004E6C70" w:rsidRPr="00ED6CAA">
        <w:rPr>
          <w:bCs/>
          <w:color w:val="000000" w:themeColor="text1"/>
        </w:rPr>
        <w:t xml:space="preserve"> oder sanktionsbelastete Anleger</w:t>
      </w:r>
      <w:r w:rsidR="00EC1471" w:rsidRPr="00ED6CAA">
        <w:rPr>
          <w:b/>
          <w:color w:val="000000" w:themeColor="text1"/>
        </w:rPr>
        <w:t xml:space="preserve"> </w:t>
      </w:r>
    </w:p>
    <w:p w14:paraId="7FAD7693" w14:textId="77777777" w:rsidR="00182061" w:rsidRPr="00ED6CAA" w:rsidRDefault="00C04968" w:rsidP="00EC1471">
      <w:pPr>
        <w:pStyle w:val="Bearb-Hinweis"/>
        <w:pBdr>
          <w:top w:val="single" w:sz="4" w:space="1" w:color="auto"/>
          <w:left w:val="single" w:sz="4" w:space="4" w:color="auto"/>
          <w:bottom w:val="single" w:sz="4" w:space="1" w:color="auto"/>
          <w:right w:val="single" w:sz="4" w:space="4" w:color="auto"/>
        </w:pBdr>
        <w:rPr>
          <w:bCs/>
          <w:color w:val="000000" w:themeColor="text1"/>
        </w:rPr>
      </w:pPr>
      <w:r w:rsidRPr="00ED6CAA">
        <w:rPr>
          <w:bCs/>
          <w:color w:val="000000" w:themeColor="text1"/>
        </w:rPr>
        <w:t xml:space="preserve">Unter bestimmten Voraussetzungen kann eine Gesellschaft ein legitimes Interesse daran haben, das Rechtsverhältnis mit einzelnen Anlegern zu kündigen. Hierbei handelt es sich beispielsweise um das Rechtsverhältnis zu </w:t>
      </w:r>
    </w:p>
    <w:p w14:paraId="3CAAD220" w14:textId="77777777" w:rsidR="00AC6EBC" w:rsidRPr="00ED6CAA" w:rsidRDefault="000F3FFF" w:rsidP="00182061">
      <w:pPr>
        <w:pStyle w:val="Bearb-Hinweis"/>
        <w:pBdr>
          <w:top w:val="single" w:sz="4" w:space="1" w:color="auto"/>
          <w:left w:val="single" w:sz="4" w:space="4" w:color="auto"/>
          <w:bottom w:val="single" w:sz="4" w:space="1" w:color="auto"/>
          <w:right w:val="single" w:sz="4" w:space="4" w:color="auto"/>
        </w:pBdr>
        <w:rPr>
          <w:bCs/>
          <w:color w:val="000000" w:themeColor="text1"/>
        </w:rPr>
      </w:pPr>
      <w:r w:rsidRPr="00ED6CAA">
        <w:rPr>
          <w:bCs/>
          <w:color w:val="000000" w:themeColor="text1"/>
        </w:rPr>
        <w:t>- US-Personen</w:t>
      </w:r>
      <w:r w:rsidR="004770C9" w:rsidRPr="00ED6CAA">
        <w:rPr>
          <w:bCs/>
          <w:color w:val="000000" w:themeColor="text1"/>
        </w:rPr>
        <w:t>, in den USA steuerpflichtigen Personen</w:t>
      </w:r>
      <w:r w:rsidRPr="00ED6CAA">
        <w:rPr>
          <w:bCs/>
          <w:color w:val="000000" w:themeColor="text1"/>
        </w:rPr>
        <w:t xml:space="preserve"> oder</w:t>
      </w:r>
    </w:p>
    <w:p w14:paraId="004BDEAF" w14:textId="77777777" w:rsidR="00182061" w:rsidRPr="00ED6CAA" w:rsidRDefault="00182061" w:rsidP="00182061">
      <w:pPr>
        <w:pStyle w:val="Bearb-Hinweis"/>
        <w:pBdr>
          <w:top w:val="single" w:sz="4" w:space="1" w:color="auto"/>
          <w:left w:val="single" w:sz="4" w:space="4" w:color="auto"/>
          <w:bottom w:val="single" w:sz="4" w:space="1" w:color="auto"/>
          <w:right w:val="single" w:sz="4" w:space="4" w:color="auto"/>
        </w:pBdr>
        <w:rPr>
          <w:bCs/>
          <w:color w:val="000000" w:themeColor="text1"/>
        </w:rPr>
      </w:pPr>
      <w:r w:rsidRPr="00ED6CAA">
        <w:rPr>
          <w:bCs/>
          <w:color w:val="000000" w:themeColor="text1"/>
        </w:rPr>
        <w:t>- Personen, die auf der von der EU-Kommission gepflegten Konsolidierten Liste der Personen, Vereinigungen und Körperschaften, gegen die finanzielle Sanktionen der EU verhängt wurden, aufgeführt werden</w:t>
      </w:r>
      <w:r w:rsidR="000F3FFF" w:rsidRPr="00ED6CAA">
        <w:rPr>
          <w:bCs/>
          <w:color w:val="000000" w:themeColor="text1"/>
        </w:rPr>
        <w:t>.</w:t>
      </w:r>
      <w:r w:rsidR="004E6C70" w:rsidRPr="00ED6CAA">
        <w:rPr>
          <w:bCs/>
          <w:color w:val="000000" w:themeColor="text1"/>
        </w:rPr>
        <w:t xml:space="preserve"> </w:t>
      </w:r>
    </w:p>
    <w:p w14:paraId="79AA96DE" w14:textId="77777777" w:rsidR="004E6C70" w:rsidRPr="00ED6CAA" w:rsidRDefault="004E6C70" w:rsidP="00182061">
      <w:pPr>
        <w:pStyle w:val="Bearb-Hinweis"/>
        <w:pBdr>
          <w:top w:val="single" w:sz="4" w:space="1" w:color="auto"/>
          <w:left w:val="single" w:sz="4" w:space="4" w:color="auto"/>
          <w:bottom w:val="single" w:sz="4" w:space="1" w:color="auto"/>
          <w:right w:val="single" w:sz="4" w:space="4" w:color="auto"/>
        </w:pBdr>
        <w:rPr>
          <w:bCs/>
          <w:color w:val="000000" w:themeColor="text1"/>
        </w:rPr>
      </w:pPr>
      <w:r w:rsidRPr="00ED6CAA">
        <w:rPr>
          <w:bCs/>
          <w:color w:val="000000" w:themeColor="text1"/>
        </w:rPr>
        <w:t xml:space="preserve">In </w:t>
      </w:r>
      <w:r w:rsidR="00531E5E" w:rsidRPr="00ED6CAA">
        <w:rPr>
          <w:bCs/>
          <w:color w:val="000000" w:themeColor="text1"/>
        </w:rPr>
        <w:t>letzterem</w:t>
      </w:r>
      <w:r w:rsidRPr="00ED6CAA">
        <w:rPr>
          <w:bCs/>
          <w:color w:val="000000" w:themeColor="text1"/>
        </w:rPr>
        <w:t xml:space="preserve"> Fall ist die Kündigung jedoch nur möglich, wenn die Rücknahme der Anteile durch die konkrete Sanktion nicht verboten wird. </w:t>
      </w:r>
    </w:p>
    <w:p w14:paraId="206AC4CD" w14:textId="77777777" w:rsidR="00182061" w:rsidRPr="00ED6CAA" w:rsidRDefault="00B45FE5" w:rsidP="00EC1471">
      <w:pPr>
        <w:pStyle w:val="Bearb-Hinweis"/>
        <w:pBdr>
          <w:top w:val="single" w:sz="4" w:space="1" w:color="auto"/>
          <w:left w:val="single" w:sz="4" w:space="4" w:color="auto"/>
          <w:bottom w:val="single" w:sz="4" w:space="1" w:color="auto"/>
          <w:right w:val="single" w:sz="4" w:space="4" w:color="auto"/>
        </w:pBdr>
        <w:rPr>
          <w:bCs/>
          <w:color w:val="000000" w:themeColor="text1"/>
        </w:rPr>
      </w:pPr>
      <w:r w:rsidRPr="00ED6CAA">
        <w:rPr>
          <w:bCs/>
          <w:color w:val="000000" w:themeColor="text1"/>
        </w:rPr>
        <w:t xml:space="preserve">In diesem </w:t>
      </w:r>
      <w:r w:rsidR="00D82474" w:rsidRPr="00ED6CAA">
        <w:rPr>
          <w:bCs/>
          <w:color w:val="000000" w:themeColor="text1"/>
        </w:rPr>
        <w:t>Fall</w:t>
      </w:r>
      <w:r w:rsidR="00C04968" w:rsidRPr="00ED6CAA">
        <w:rPr>
          <w:bCs/>
          <w:color w:val="000000" w:themeColor="text1"/>
        </w:rPr>
        <w:t xml:space="preserve"> kann wie folgt formuliert werden</w:t>
      </w:r>
      <w:r w:rsidR="007C32D0" w:rsidRPr="00ED6CAA">
        <w:rPr>
          <w:bCs/>
          <w:color w:val="000000" w:themeColor="text1"/>
        </w:rPr>
        <w:t>:</w:t>
      </w:r>
      <w:r w:rsidR="00C04968" w:rsidRPr="00ED6CAA">
        <w:rPr>
          <w:bCs/>
          <w:color w:val="000000" w:themeColor="text1"/>
        </w:rPr>
        <w:t xml:space="preserve">  </w:t>
      </w:r>
    </w:p>
    <w:p w14:paraId="3B0CC1F7" w14:textId="77777777" w:rsidR="00EC1471" w:rsidRPr="00ED6CAA" w:rsidRDefault="00C04968" w:rsidP="00EC1471">
      <w:pPr>
        <w:pStyle w:val="Bearb-Hinweis"/>
        <w:pBdr>
          <w:top w:val="single" w:sz="4" w:space="1" w:color="auto"/>
          <w:left w:val="single" w:sz="4" w:space="4" w:color="auto"/>
          <w:bottom w:val="single" w:sz="4" w:space="1" w:color="auto"/>
          <w:right w:val="single" w:sz="4" w:space="4" w:color="auto"/>
        </w:pBdr>
        <w:rPr>
          <w:b/>
          <w:color w:val="000000" w:themeColor="text1"/>
        </w:rPr>
      </w:pPr>
      <w:r w:rsidRPr="00ED6CAA">
        <w:rPr>
          <w:b/>
          <w:color w:val="000000" w:themeColor="text1"/>
        </w:rPr>
        <w:t>„</w:t>
      </w:r>
      <w:r w:rsidR="00EC1471" w:rsidRPr="00ED6CAA">
        <w:rPr>
          <w:b/>
          <w:color w:val="000000" w:themeColor="text1"/>
        </w:rPr>
        <w:t>Die Gesellschaft ist berechtigt, einem Anleger aus wichtigem Grund zu kündigen. Ein wichtiger Grund liegt insbesondere vor, wenn</w:t>
      </w:r>
    </w:p>
    <w:p w14:paraId="737A043C" w14:textId="77777777" w:rsidR="000F3FFF" w:rsidRPr="00ED6CAA" w:rsidRDefault="00EC1471" w:rsidP="000436AE">
      <w:pPr>
        <w:pStyle w:val="Bearb-Hinweis"/>
        <w:pBdr>
          <w:top w:val="single" w:sz="4" w:space="1" w:color="auto"/>
          <w:left w:val="single" w:sz="4" w:space="4" w:color="auto"/>
          <w:bottom w:val="single" w:sz="4" w:space="1" w:color="auto"/>
          <w:right w:val="single" w:sz="4" w:space="4" w:color="auto"/>
        </w:pBdr>
        <w:rPr>
          <w:b/>
          <w:color w:val="000000" w:themeColor="text1"/>
        </w:rPr>
      </w:pPr>
      <w:r w:rsidRPr="00ED6CAA">
        <w:rPr>
          <w:b/>
          <w:color w:val="000000" w:themeColor="text1"/>
        </w:rPr>
        <w:t>- es sich bei dem Anleger um eine</w:t>
      </w:r>
      <w:r w:rsidR="00815C26" w:rsidRPr="00ED6CAA">
        <w:rPr>
          <w:b/>
          <w:color w:val="000000" w:themeColor="text1"/>
        </w:rPr>
        <w:t xml:space="preserve"> US-Person (</w:t>
      </w:r>
      <w:r w:rsidR="00763590" w:rsidRPr="00ED6CAA">
        <w:rPr>
          <w:b/>
          <w:color w:val="000000" w:themeColor="text1"/>
        </w:rPr>
        <w:t xml:space="preserve">d.h. </w:t>
      </w:r>
      <w:r w:rsidR="00A02EF2" w:rsidRPr="00ED6CAA">
        <w:rPr>
          <w:b/>
          <w:color w:val="000000" w:themeColor="text1"/>
        </w:rPr>
        <w:t xml:space="preserve">eine </w:t>
      </w:r>
      <w:r w:rsidR="00815C26" w:rsidRPr="00ED6CAA">
        <w:rPr>
          <w:b/>
          <w:color w:val="000000" w:themeColor="text1"/>
        </w:rPr>
        <w:t>natürliche Person mit Wohnsitz in den USA</w:t>
      </w:r>
      <w:r w:rsidR="00A2405A" w:rsidRPr="00ED6CAA">
        <w:rPr>
          <w:b/>
          <w:color w:val="000000" w:themeColor="text1"/>
        </w:rPr>
        <w:t xml:space="preserve"> oder eine</w:t>
      </w:r>
      <w:r w:rsidR="00815C26" w:rsidRPr="00ED6CAA">
        <w:rPr>
          <w:b/>
          <w:color w:val="000000" w:themeColor="text1"/>
        </w:rPr>
        <w:t xml:space="preserve"> Personen- oder Kapitalgesellschaft, die gemäß den Gesetzen der USA bzw. eines US-Bundesstaats, </w:t>
      </w:r>
      <w:r w:rsidR="00887496" w:rsidRPr="00ED6CAA">
        <w:rPr>
          <w:b/>
          <w:color w:val="000000" w:themeColor="text1"/>
        </w:rPr>
        <w:t>US-</w:t>
      </w:r>
      <w:r w:rsidR="00815C26" w:rsidRPr="00ED6CAA">
        <w:rPr>
          <w:b/>
          <w:color w:val="000000" w:themeColor="text1"/>
        </w:rPr>
        <w:t xml:space="preserve">Territoriums oder einer US-Besitzung gegründet wurde) </w:t>
      </w:r>
      <w:r w:rsidR="004770C9" w:rsidRPr="00ED6CAA">
        <w:rPr>
          <w:b/>
          <w:color w:val="000000" w:themeColor="text1"/>
        </w:rPr>
        <w:t xml:space="preserve">oder eine in den USA steuerpflichtige Person handelt oder </w:t>
      </w:r>
    </w:p>
    <w:p w14:paraId="2B015408" w14:textId="77777777" w:rsidR="007B2D71" w:rsidRPr="00ED6CAA" w:rsidRDefault="000F3FFF" w:rsidP="000436AE">
      <w:pPr>
        <w:pStyle w:val="Bearb-Hinweis"/>
        <w:pBdr>
          <w:top w:val="single" w:sz="4" w:space="1" w:color="auto"/>
          <w:left w:val="single" w:sz="4" w:space="4" w:color="auto"/>
          <w:bottom w:val="single" w:sz="4" w:space="1" w:color="auto"/>
          <w:right w:val="single" w:sz="4" w:space="4" w:color="auto"/>
        </w:pBdr>
        <w:rPr>
          <w:b/>
          <w:color w:val="000000" w:themeColor="text1"/>
        </w:rPr>
      </w:pPr>
      <w:r w:rsidRPr="00ED6CAA">
        <w:rPr>
          <w:b/>
          <w:color w:val="000000" w:themeColor="text1"/>
        </w:rPr>
        <w:lastRenderedPageBreak/>
        <w:t xml:space="preserve">- der Name </w:t>
      </w:r>
      <w:r w:rsidR="001E55D4" w:rsidRPr="00ED6CAA">
        <w:rPr>
          <w:b/>
          <w:color w:val="000000" w:themeColor="text1"/>
        </w:rPr>
        <w:t>des</w:t>
      </w:r>
      <w:r w:rsidRPr="00ED6CAA">
        <w:rPr>
          <w:b/>
          <w:color w:val="000000" w:themeColor="text1"/>
        </w:rPr>
        <w:t xml:space="preserve"> Anlegers auf die von der EU-Kommission gepflegte Konsolidierte Liste der Personen, Vereinigungen und Körperschaften, gegen die finanzielle Sanktionen der EU verhängt wurden, aufgenommen wurde.</w:t>
      </w:r>
    </w:p>
    <w:p w14:paraId="6D016F7A" w14:textId="77777777" w:rsidR="007C32D0" w:rsidRPr="00ED6CAA" w:rsidRDefault="007C32D0" w:rsidP="000436AE">
      <w:pPr>
        <w:pStyle w:val="Bearb-Hinweis"/>
        <w:pBdr>
          <w:top w:val="single" w:sz="4" w:space="1" w:color="auto"/>
          <w:left w:val="single" w:sz="4" w:space="4" w:color="auto"/>
          <w:bottom w:val="single" w:sz="4" w:space="1" w:color="auto"/>
          <w:right w:val="single" w:sz="4" w:space="4" w:color="auto"/>
        </w:pBdr>
        <w:rPr>
          <w:color w:val="000000" w:themeColor="text1"/>
        </w:rPr>
      </w:pPr>
      <w:r w:rsidRPr="00ED6CAA">
        <w:rPr>
          <w:b/>
          <w:color w:val="000000" w:themeColor="text1"/>
        </w:rPr>
        <w:t>Mit Zugang der Kündigung ist der Anleger verpflichtet, die erhaltenen Anteile unverzüglich an die Gesellschaft zurückzugeben. Die Gesellschaft ist verpflichtet, die Anteile zum jeweils geltenden Rücknahmepreis für Rechnung des Sondervermögens zurückzunehmen.“</w:t>
      </w:r>
    </w:p>
    <w:p w14:paraId="6B1E7A7A" w14:textId="77777777" w:rsidR="00693BAB" w:rsidRDefault="00693BAB">
      <w:pPr>
        <w:pStyle w:val="Paragr-berschr"/>
      </w:pPr>
      <w:r>
        <w:t>Baustein 6</w:t>
      </w:r>
      <w:r>
        <w:br/>
        <w:t>Ausgabe- und Rücknahmepreis</w:t>
      </w:r>
    </w:p>
    <w:p w14:paraId="0B4D8E8A" w14:textId="77777777" w:rsidR="0053162F" w:rsidRDefault="00693BAB" w:rsidP="00144F78">
      <w:pPr>
        <w:pStyle w:val="Bearb-Hinweis"/>
        <w:pBdr>
          <w:top w:val="single" w:sz="4" w:space="1" w:color="auto"/>
          <w:left w:val="single" w:sz="4" w:space="4" w:color="auto"/>
          <w:bottom w:val="single" w:sz="4" w:space="1" w:color="auto"/>
          <w:right w:val="single" w:sz="4" w:space="4" w:color="auto"/>
        </w:pBdr>
        <w:rPr>
          <w:u w:val="single"/>
        </w:rPr>
      </w:pPr>
      <w:r>
        <w:rPr>
          <w:u w:val="single"/>
        </w:rPr>
        <w:t>Bearbeiterhinweis:</w:t>
      </w:r>
    </w:p>
    <w:p w14:paraId="3961ED1F" w14:textId="77777777" w:rsidR="00BB2540" w:rsidRPr="009D4619" w:rsidRDefault="00BB2540" w:rsidP="009B313C">
      <w:pPr>
        <w:pStyle w:val="Bearb-Hinweis"/>
        <w:widowControl w:val="0"/>
        <w:pBdr>
          <w:top w:val="single" w:sz="4" w:space="1" w:color="auto"/>
          <w:left w:val="single" w:sz="4" w:space="4" w:color="auto"/>
          <w:bottom w:val="single" w:sz="4" w:space="1" w:color="auto"/>
          <w:right w:val="single" w:sz="4" w:space="4" w:color="auto"/>
        </w:pBdr>
      </w:pPr>
      <w:r w:rsidRPr="009D4619">
        <w:t xml:space="preserve">1. Die Gesellschaft kann bei der Ermittlung des </w:t>
      </w:r>
      <w:r w:rsidRPr="001C430B">
        <w:t xml:space="preserve">Nettoinventarwertes </w:t>
      </w:r>
      <w:r w:rsidR="009B313C" w:rsidRPr="009B313C">
        <w:t>zur Berechnung des Ausgabe- und Rücknahmepreises die Methode des Swing Pricing i.S.d. § 1 Abs. 19 Nr. 34a KAGB anwenden</w:t>
      </w:r>
      <w:r w:rsidR="00144F78">
        <w:t>.</w:t>
      </w:r>
      <w:r w:rsidR="00D143D1">
        <w:rPr>
          <w:rStyle w:val="Funotenzeichen"/>
        </w:rPr>
        <w:footnoteReference w:id="2"/>
      </w:r>
    </w:p>
    <w:p w14:paraId="7CD27F72" w14:textId="77777777" w:rsidR="00CB70ED" w:rsidRPr="009D4619" w:rsidRDefault="001D3CEF" w:rsidP="009B313C">
      <w:pPr>
        <w:pStyle w:val="Bearb-Hinweis"/>
        <w:widowControl w:val="0"/>
        <w:pBdr>
          <w:top w:val="single" w:sz="4" w:space="1" w:color="auto"/>
          <w:left w:val="single" w:sz="4" w:space="4" w:color="auto"/>
          <w:bottom w:val="single" w:sz="4" w:space="1" w:color="auto"/>
          <w:right w:val="single" w:sz="4" w:space="4" w:color="auto"/>
        </w:pBdr>
      </w:pPr>
      <w:r w:rsidRPr="009D4619">
        <w:t>a)</w:t>
      </w:r>
      <w:r w:rsidR="00CB70ED" w:rsidRPr="009D4619">
        <w:t xml:space="preserve"> Wird ein </w:t>
      </w:r>
      <w:bookmarkStart w:id="7" w:name="_Hlk36646118"/>
      <w:r w:rsidR="00CB70ED" w:rsidRPr="009D4619">
        <w:t xml:space="preserve">vollständiges Swing Pricing </w:t>
      </w:r>
      <w:bookmarkEnd w:id="7"/>
      <w:r w:rsidR="00CB70ED" w:rsidRPr="009D4619">
        <w:t xml:space="preserve">durchgeführt, ist folgende Formulierung zu verwenden: </w:t>
      </w:r>
    </w:p>
    <w:p w14:paraId="327039AB" w14:textId="77777777" w:rsidR="00BB2540" w:rsidRPr="009D4619" w:rsidRDefault="00BB2540" w:rsidP="009B313C">
      <w:pPr>
        <w:pStyle w:val="Bearb-Hinweis"/>
        <w:widowControl w:val="0"/>
        <w:pBdr>
          <w:top w:val="single" w:sz="4" w:space="1" w:color="auto"/>
          <w:left w:val="single" w:sz="4" w:space="4" w:color="auto"/>
          <w:bottom w:val="single" w:sz="4" w:space="1" w:color="auto"/>
          <w:right w:val="single" w:sz="4" w:space="4" w:color="auto"/>
        </w:pBdr>
        <w:rPr>
          <w:b/>
        </w:rPr>
      </w:pPr>
      <w:r w:rsidRPr="009D4619">
        <w:rPr>
          <w:b/>
        </w:rPr>
        <w:t xml:space="preserve">„Die Gesellschaft wendet bei der Ermittlung des Nettoinventarwertes </w:t>
      </w:r>
      <w:r w:rsidR="00AB3D89" w:rsidRPr="009D4619">
        <w:rPr>
          <w:b/>
        </w:rPr>
        <w:t xml:space="preserve">zur </w:t>
      </w:r>
      <w:r w:rsidR="006E57B6">
        <w:rPr>
          <w:b/>
        </w:rPr>
        <w:t>Be</w:t>
      </w:r>
      <w:r w:rsidR="006E57B6" w:rsidRPr="009D4619">
        <w:rPr>
          <w:b/>
        </w:rPr>
        <w:t xml:space="preserve">rechnung </w:t>
      </w:r>
      <w:r w:rsidR="00AB3D89" w:rsidRPr="009D4619">
        <w:rPr>
          <w:b/>
        </w:rPr>
        <w:t xml:space="preserve">des Ausgabe- und Rücknahmepreises </w:t>
      </w:r>
      <w:r w:rsidRPr="009D4619">
        <w:rPr>
          <w:b/>
        </w:rPr>
        <w:t xml:space="preserve">als dauerhafte </w:t>
      </w:r>
      <w:r w:rsidRPr="009D4619">
        <w:rPr>
          <w:b/>
        </w:rPr>
        <w:lastRenderedPageBreak/>
        <w:t xml:space="preserve">Maßnahme vollständiges Swing Pricing an. </w:t>
      </w:r>
      <w:r w:rsidR="006E1432" w:rsidRPr="009D4619">
        <w:rPr>
          <w:b/>
        </w:rPr>
        <w:t>Dies bedeutet, dass a</w:t>
      </w:r>
      <w:r w:rsidRPr="009D4619">
        <w:rPr>
          <w:b/>
        </w:rPr>
        <w:t>bweichend von § 18 Absatz 1 Satz 1 der AABen zusätzlich zum Nettoinventarwert der modifizierte Nettoinventarwert je Anteil zu berechnen</w:t>
      </w:r>
      <w:r w:rsidR="006E1432" w:rsidRPr="009D4619">
        <w:rPr>
          <w:b/>
        </w:rPr>
        <w:t xml:space="preserve"> ist</w:t>
      </w:r>
      <w:r w:rsidRPr="009D4619">
        <w:rPr>
          <w:b/>
        </w:rPr>
        <w:t xml:space="preserve">. Hierzu werden bei jeder Ausgabe und Rücknahme von </w:t>
      </w:r>
      <w:proofErr w:type="gramStart"/>
      <w:r w:rsidRPr="009D4619">
        <w:rPr>
          <w:b/>
        </w:rPr>
        <w:t>Anteilen</w:t>
      </w:r>
      <w:proofErr w:type="gramEnd"/>
      <w:r w:rsidRPr="009D4619">
        <w:rPr>
          <w:b/>
        </w:rPr>
        <w:t xml:space="preserve"> die durch den Netto-Überschuss an Rückgabe- oder Ausgabeverlangen von Anteilen verursachten Transaktionskosten mit einbezogen (modifizierter Nettoinventarwert). Dem Ausgabe- und Rücknahmepreis </w:t>
      </w:r>
      <w:r w:rsidR="0061517B" w:rsidRPr="009D4619">
        <w:rPr>
          <w:b/>
        </w:rPr>
        <w:t>ist</w:t>
      </w:r>
      <w:r w:rsidRPr="009D4619">
        <w:rPr>
          <w:b/>
        </w:rPr>
        <w:t xml:space="preserve"> statt des Nettoinventarwertes der modifizierte Nettoinventarwert zu</w:t>
      </w:r>
      <w:r w:rsidR="006E1432" w:rsidRPr="009D4619">
        <w:rPr>
          <w:b/>
        </w:rPr>
        <w:t xml:space="preserve"> G</w:t>
      </w:r>
      <w:r w:rsidRPr="009D4619">
        <w:rPr>
          <w:b/>
        </w:rPr>
        <w:t xml:space="preserve">runde zu legen. Die Vorgaben in § 18 Absatz 1 Satz 3 der </w:t>
      </w:r>
      <w:r w:rsidR="009B313C">
        <w:rPr>
          <w:b/>
        </w:rPr>
        <w:br/>
      </w:r>
      <w:r w:rsidRPr="009D4619">
        <w:rPr>
          <w:b/>
        </w:rPr>
        <w:t>AABen gelten für den modifizierten Nettoinventarwert entsprechend.</w:t>
      </w:r>
      <w:r w:rsidR="00926AAB" w:rsidRPr="009D4619">
        <w:rPr>
          <w:b/>
        </w:rPr>
        <w:t xml:space="preserve"> </w:t>
      </w:r>
      <w:bookmarkStart w:id="8" w:name="_Hlk36646082"/>
      <w:r w:rsidR="00926AAB" w:rsidRPr="009D4619">
        <w:rPr>
          <w:b/>
        </w:rPr>
        <w:t>Die Gesellschaft erläutert das Verfahren, nach de</w:t>
      </w:r>
      <w:r w:rsidR="00423337" w:rsidRPr="009D4619">
        <w:rPr>
          <w:b/>
        </w:rPr>
        <w:t>m</w:t>
      </w:r>
      <w:r w:rsidR="00926AAB" w:rsidRPr="009D4619">
        <w:rPr>
          <w:b/>
        </w:rPr>
        <w:t xml:space="preserve"> </w:t>
      </w:r>
      <w:r w:rsidR="00400073" w:rsidRPr="009D4619">
        <w:rPr>
          <w:b/>
        </w:rPr>
        <w:t>der modifizierte Nettoinventarwert berechnet wird</w:t>
      </w:r>
      <w:r w:rsidR="000F3524" w:rsidRPr="009D4619">
        <w:rPr>
          <w:b/>
        </w:rPr>
        <w:t>,</w:t>
      </w:r>
      <w:r w:rsidR="00926AAB" w:rsidRPr="009D4619">
        <w:rPr>
          <w:b/>
        </w:rPr>
        <w:t xml:space="preserve"> im Verkaufsprospekt.</w:t>
      </w:r>
      <w:bookmarkEnd w:id="8"/>
      <w:r w:rsidRPr="009D4619">
        <w:rPr>
          <w:b/>
        </w:rPr>
        <w:t>“</w:t>
      </w:r>
    </w:p>
    <w:p w14:paraId="16611556" w14:textId="77777777" w:rsidR="00CB70ED" w:rsidRPr="009D4619" w:rsidRDefault="001D3CEF" w:rsidP="009B313C">
      <w:pPr>
        <w:pStyle w:val="Bearb-Hinweis"/>
        <w:widowControl w:val="0"/>
        <w:pBdr>
          <w:top w:val="single" w:sz="4" w:space="1" w:color="auto"/>
          <w:left w:val="single" w:sz="4" w:space="4" w:color="auto"/>
          <w:bottom w:val="single" w:sz="4" w:space="1" w:color="auto"/>
          <w:right w:val="single" w:sz="4" w:space="4" w:color="auto"/>
        </w:pBdr>
      </w:pPr>
      <w:r w:rsidRPr="009D4619">
        <w:t>b)</w:t>
      </w:r>
      <w:r w:rsidR="00CB70ED" w:rsidRPr="009D4619">
        <w:t xml:space="preserve"> Wird Swing Pricing erst bei Überschreiten eines zuvor festgelegten Schwellenwertes durchgeführt, ist folgende Formulierung zu verwenden:</w:t>
      </w:r>
    </w:p>
    <w:p w14:paraId="257C5145" w14:textId="77777777" w:rsidR="000F3524" w:rsidRPr="009D4619" w:rsidRDefault="00BB2540" w:rsidP="009B313C">
      <w:pPr>
        <w:pStyle w:val="Bearb-Hinweis"/>
        <w:widowControl w:val="0"/>
        <w:pBdr>
          <w:top w:val="single" w:sz="4" w:space="1" w:color="auto"/>
          <w:left w:val="single" w:sz="4" w:space="4" w:color="auto"/>
          <w:bottom w:val="single" w:sz="4" w:space="1" w:color="auto"/>
          <w:right w:val="single" w:sz="4" w:space="4" w:color="auto"/>
        </w:pBdr>
        <w:rPr>
          <w:b/>
        </w:rPr>
      </w:pPr>
      <w:r w:rsidRPr="009D4619">
        <w:rPr>
          <w:b/>
        </w:rPr>
        <w:t xml:space="preserve">„Die Gesellschaft wendet bei der Ermittlung des Nettoinventarwertes </w:t>
      </w:r>
      <w:r w:rsidR="00B066AD" w:rsidRPr="009D4619">
        <w:rPr>
          <w:b/>
        </w:rPr>
        <w:t xml:space="preserve">zur </w:t>
      </w:r>
      <w:r w:rsidR="006E57B6">
        <w:rPr>
          <w:b/>
        </w:rPr>
        <w:t>Be</w:t>
      </w:r>
      <w:r w:rsidR="006E57B6" w:rsidRPr="009D4619">
        <w:rPr>
          <w:b/>
        </w:rPr>
        <w:t xml:space="preserve">rechnung </w:t>
      </w:r>
      <w:r w:rsidR="00B066AD" w:rsidRPr="009D4619">
        <w:rPr>
          <w:b/>
        </w:rPr>
        <w:t xml:space="preserve">des Ausgabe- und Rücknahmepreises </w:t>
      </w:r>
      <w:r w:rsidRPr="009D4619">
        <w:rPr>
          <w:b/>
        </w:rPr>
        <w:t>teilweises Swing Pricing</w:t>
      </w:r>
      <w:r w:rsidR="005851EA" w:rsidRPr="009D4619">
        <w:rPr>
          <w:b/>
        </w:rPr>
        <w:t xml:space="preserve"> an</w:t>
      </w:r>
      <w:r w:rsidRPr="009D4619">
        <w:rPr>
          <w:b/>
        </w:rPr>
        <w:t xml:space="preserve">. </w:t>
      </w:r>
      <w:r w:rsidR="005851EA" w:rsidRPr="009D4619">
        <w:rPr>
          <w:b/>
        </w:rPr>
        <w:t>Dies bedeutet, dass a</w:t>
      </w:r>
      <w:r w:rsidRPr="009D4619">
        <w:rPr>
          <w:b/>
        </w:rPr>
        <w:t>bweichend von § 18 Absatz 1 Satz 1 der AABen zusätzlich zum Nettoinventarwert der modifizierte Nettoinventarwert je Anteil zu berechnen</w:t>
      </w:r>
      <w:r w:rsidR="005851EA" w:rsidRPr="009D4619">
        <w:rPr>
          <w:b/>
        </w:rPr>
        <w:t xml:space="preserve"> ist</w:t>
      </w:r>
      <w:r w:rsidRPr="009D4619">
        <w:rPr>
          <w:b/>
        </w:rPr>
        <w:t xml:space="preserve">. Hierzu werden bei Ausgabe und Rücknahme von </w:t>
      </w:r>
      <w:proofErr w:type="gramStart"/>
      <w:r w:rsidRPr="009D4619">
        <w:rPr>
          <w:b/>
        </w:rPr>
        <w:t>Anteilen</w:t>
      </w:r>
      <w:proofErr w:type="gramEnd"/>
      <w:r w:rsidRPr="009D4619">
        <w:rPr>
          <w:b/>
        </w:rPr>
        <w:t xml:space="preserve"> die durch den Netto-Überschuss an Rückgabe- oder Ausgabeverlangen von Anteilen verursachten Transaktionskosten mit einbezogen, vorausgesetzt der Netto-Überschuss überschreitet einen Schwellenwert (modifizierter Nettoinventarwert).</w:t>
      </w:r>
      <w:r w:rsidRPr="009D4619">
        <w:t xml:space="preserve"> </w:t>
      </w:r>
      <w:r w:rsidRPr="009D4619">
        <w:rPr>
          <w:b/>
        </w:rPr>
        <w:t xml:space="preserve">Dem Ausgabe- und Rücknahmepreis </w:t>
      </w:r>
      <w:r w:rsidR="0061517B" w:rsidRPr="009D4619">
        <w:rPr>
          <w:b/>
        </w:rPr>
        <w:t xml:space="preserve">ist </w:t>
      </w:r>
      <w:r w:rsidRPr="009D4619">
        <w:rPr>
          <w:b/>
        </w:rPr>
        <w:t>statt des Nettoinventarwertes der modifizierte Nettoinventarwert zugrunde zu legen.</w:t>
      </w:r>
      <w:r w:rsidRPr="009D4619">
        <w:t xml:space="preserve"> </w:t>
      </w:r>
      <w:r w:rsidRPr="009D4619">
        <w:rPr>
          <w:b/>
        </w:rPr>
        <w:t>Die Vorgaben in § 18 Absatz 1 Satz 3 der AABen gelten für den modifizierten Nettoinventarwert entsprechend.</w:t>
      </w:r>
      <w:r w:rsidR="00926AAB" w:rsidRPr="009D4619">
        <w:rPr>
          <w:b/>
        </w:rPr>
        <w:t xml:space="preserve"> </w:t>
      </w:r>
      <w:r w:rsidR="000F3524" w:rsidRPr="009D4619">
        <w:rPr>
          <w:b/>
        </w:rPr>
        <w:t>Die Gesellschaft erläutert das Verfahren, nach dem der modifizierte Nettoinventarwert berechnet wird, im Verkaufsprospekt.“</w:t>
      </w:r>
    </w:p>
    <w:p w14:paraId="2D46936B" w14:textId="77777777" w:rsidR="007F4F81" w:rsidRDefault="004571F4" w:rsidP="00D26B76">
      <w:pPr>
        <w:pStyle w:val="Bearb-Hinweis"/>
        <w:pBdr>
          <w:top w:val="single" w:sz="4" w:space="1" w:color="auto"/>
          <w:left w:val="single" w:sz="4" w:space="4" w:color="auto"/>
          <w:bottom w:val="single" w:sz="4" w:space="1" w:color="auto"/>
          <w:right w:val="single" w:sz="4" w:space="4" w:color="auto"/>
        </w:pBdr>
      </w:pPr>
      <w:r w:rsidRPr="009D4619">
        <w:lastRenderedPageBreak/>
        <w:t>2</w:t>
      </w:r>
      <w:r w:rsidR="00693BAB" w:rsidRPr="009D4619">
        <w:t>.</w:t>
      </w:r>
      <w:r w:rsidR="00693BAB">
        <w:t xml:space="preserve"> Wird ein Ausgabeaufschlag erhoben, ist folgende Formulierung zu wählen:</w:t>
      </w:r>
    </w:p>
    <w:p w14:paraId="07923110" w14:textId="77777777" w:rsidR="006C7126" w:rsidRDefault="00693BAB" w:rsidP="00D26B76">
      <w:pPr>
        <w:pStyle w:val="Bearb-Hinweis"/>
        <w:pBdr>
          <w:top w:val="single" w:sz="4" w:space="1" w:color="auto"/>
          <w:left w:val="single" w:sz="4" w:space="4" w:color="auto"/>
          <w:bottom w:val="single" w:sz="4" w:space="1" w:color="auto"/>
          <w:right w:val="single" w:sz="4" w:space="4" w:color="auto"/>
        </w:pBdr>
        <w:rPr>
          <w:b/>
        </w:rPr>
      </w:pPr>
      <w:r>
        <w:rPr>
          <w:b/>
        </w:rPr>
        <w:t>„Der Ausgabeaufschlag beträgt ....... </w:t>
      </w:r>
      <w:r w:rsidR="00C87AE0" w:rsidRPr="00365EFA">
        <w:rPr>
          <w:b/>
        </w:rPr>
        <w:t>Prozent</w:t>
      </w:r>
      <w:r>
        <w:rPr>
          <w:b/>
        </w:rPr>
        <w:t xml:space="preserve"> des </w:t>
      </w:r>
      <w:r w:rsidR="002A0212" w:rsidRPr="00365EFA">
        <w:rPr>
          <w:b/>
        </w:rPr>
        <w:t>Anteil</w:t>
      </w:r>
      <w:r w:rsidR="00C87AE0" w:rsidRPr="00365EFA">
        <w:rPr>
          <w:b/>
        </w:rPr>
        <w:t>werts</w:t>
      </w:r>
      <w:r w:rsidR="00547AFA">
        <w:rPr>
          <w:b/>
        </w:rPr>
        <w:t>. Es steht der Gesell</w:t>
      </w:r>
      <w:r>
        <w:rPr>
          <w:b/>
        </w:rPr>
        <w:t>schaft frei, einen niedrigeren Ausgabeaufschlag zu berechnen.</w:t>
      </w:r>
      <w:r w:rsidR="0042601A">
        <w:rPr>
          <w:b/>
        </w:rPr>
        <w:t>“</w:t>
      </w:r>
    </w:p>
    <w:p w14:paraId="0E70E757" w14:textId="77777777" w:rsidR="007F4F81" w:rsidRDefault="004571F4" w:rsidP="00D26B76">
      <w:pPr>
        <w:pStyle w:val="Bearb-Hinweis"/>
        <w:pBdr>
          <w:top w:val="single" w:sz="4" w:space="1" w:color="auto"/>
          <w:left w:val="single" w:sz="4" w:space="4" w:color="auto"/>
          <w:bottom w:val="single" w:sz="4" w:space="1" w:color="auto"/>
          <w:right w:val="single" w:sz="4" w:space="4" w:color="auto"/>
        </w:pBdr>
      </w:pPr>
      <w:r w:rsidRPr="009D4619">
        <w:t>3</w:t>
      </w:r>
      <w:r w:rsidR="00693BAB">
        <w:t xml:space="preserve">. Wird </w:t>
      </w:r>
      <w:r w:rsidR="007E0A1C">
        <w:t xml:space="preserve">daneben oder </w:t>
      </w:r>
      <w:r w:rsidR="00693BAB">
        <w:t>alternativ ein Rücknahmeabschlag erhoben, ist folgende Formulierung zu wählen:</w:t>
      </w:r>
    </w:p>
    <w:p w14:paraId="1C67B4BF" w14:textId="77777777" w:rsidR="001E4E3A" w:rsidRDefault="00693BAB" w:rsidP="00D26B76">
      <w:pPr>
        <w:pStyle w:val="Bearb-Hinweis"/>
        <w:pBdr>
          <w:top w:val="single" w:sz="4" w:space="1" w:color="auto"/>
          <w:left w:val="single" w:sz="4" w:space="4" w:color="auto"/>
          <w:bottom w:val="single" w:sz="4" w:space="1" w:color="auto"/>
          <w:right w:val="single" w:sz="4" w:space="4" w:color="auto"/>
        </w:pBdr>
        <w:rPr>
          <w:b/>
        </w:rPr>
      </w:pPr>
      <w:r>
        <w:rPr>
          <w:b/>
        </w:rPr>
        <w:t xml:space="preserve">„Der Rücknahmeabschlag beträgt ... </w:t>
      </w:r>
      <w:r w:rsidR="001D6741" w:rsidRPr="00365EFA">
        <w:rPr>
          <w:b/>
        </w:rPr>
        <w:t>Prozent</w:t>
      </w:r>
      <w:r>
        <w:rPr>
          <w:b/>
        </w:rPr>
        <w:t xml:space="preserve"> des </w:t>
      </w:r>
      <w:r w:rsidR="002A0212" w:rsidRPr="00365EFA">
        <w:rPr>
          <w:b/>
        </w:rPr>
        <w:t>Anteil</w:t>
      </w:r>
      <w:r w:rsidR="001D6741" w:rsidRPr="00365EFA">
        <w:rPr>
          <w:b/>
        </w:rPr>
        <w:t>werts</w:t>
      </w:r>
      <w:r>
        <w:rPr>
          <w:b/>
        </w:rPr>
        <w:t>. Es steht der Gesellschaft frei, einen niedrigeren Rücknahmeabschlag zu berechnen.“</w:t>
      </w:r>
    </w:p>
    <w:p w14:paraId="518DC972" w14:textId="77777777" w:rsidR="00116606" w:rsidRDefault="004571F4" w:rsidP="00D26B76">
      <w:pPr>
        <w:pStyle w:val="Bearb-Hinweis"/>
        <w:pBdr>
          <w:top w:val="single" w:sz="4" w:space="1" w:color="auto"/>
          <w:left w:val="single" w:sz="4" w:space="4" w:color="auto"/>
          <w:bottom w:val="single" w:sz="4" w:space="1" w:color="auto"/>
          <w:right w:val="single" w:sz="4" w:space="4" w:color="auto"/>
        </w:pBdr>
      </w:pPr>
      <w:r w:rsidRPr="009D4619">
        <w:t>4</w:t>
      </w:r>
      <w:r w:rsidR="00036D7A">
        <w:t xml:space="preserve">. </w:t>
      </w:r>
      <w:r w:rsidR="00693BAB">
        <w:t xml:space="preserve">Im Hinblick auf zivilrechtliche Gesichtspunkte ist darüber hinaus anzugeben, ob der Rücknahmeabschlag dem </w:t>
      </w:r>
      <w:r w:rsidR="00B60284">
        <w:t>OGAW-</w:t>
      </w:r>
      <w:r w:rsidR="00693BAB">
        <w:t>Sondervermögen oder der Gesellschaft zusteht. Es kann eine der folgenden Formulierungen gewählt werden:</w:t>
      </w:r>
    </w:p>
    <w:p w14:paraId="4775EDE2" w14:textId="77777777" w:rsidR="00791F9E" w:rsidRDefault="00693BAB" w:rsidP="00D26B76">
      <w:pPr>
        <w:pStyle w:val="Bearb-Hinweis"/>
        <w:pBdr>
          <w:top w:val="single" w:sz="4" w:space="1" w:color="auto"/>
          <w:left w:val="single" w:sz="4" w:space="4" w:color="auto"/>
          <w:bottom w:val="single" w:sz="4" w:space="1" w:color="auto"/>
          <w:right w:val="single" w:sz="4" w:space="4" w:color="auto"/>
        </w:pBdr>
        <w:rPr>
          <w:b/>
        </w:rPr>
      </w:pPr>
      <w:r>
        <w:rPr>
          <w:b/>
        </w:rPr>
        <w:t>„Der Rücknahmeabschlag steht der Gesellschaft zu.“</w:t>
      </w:r>
      <w:r>
        <w:t xml:space="preserve"> oder</w:t>
      </w:r>
      <w:r>
        <w:br/>
      </w:r>
      <w:r>
        <w:rPr>
          <w:b/>
        </w:rPr>
        <w:t xml:space="preserve">„Der Rücknahmeabschlag steht dem </w:t>
      </w:r>
      <w:r w:rsidR="000B643E">
        <w:rPr>
          <w:b/>
        </w:rPr>
        <w:t>OGAW-</w:t>
      </w:r>
      <w:r>
        <w:rPr>
          <w:b/>
        </w:rPr>
        <w:t>Sondervermögen zu.“</w:t>
      </w:r>
    </w:p>
    <w:p w14:paraId="1233DE48" w14:textId="77777777" w:rsidR="009213BA" w:rsidRDefault="004571F4" w:rsidP="00D26B76">
      <w:pPr>
        <w:pStyle w:val="Bearb-Hinweis"/>
        <w:pBdr>
          <w:top w:val="single" w:sz="4" w:space="1" w:color="auto"/>
          <w:left w:val="single" w:sz="4" w:space="4" w:color="auto"/>
          <w:bottom w:val="single" w:sz="4" w:space="1" w:color="auto"/>
          <w:right w:val="single" w:sz="4" w:space="4" w:color="auto"/>
        </w:pBdr>
      </w:pPr>
      <w:r>
        <w:t>5</w:t>
      </w:r>
      <w:r w:rsidR="004D0F75">
        <w:t xml:space="preserve">. </w:t>
      </w:r>
      <w:r w:rsidR="000977D3" w:rsidRPr="000977D3">
        <w:t xml:space="preserve">Sofern der Rücknahmeabschlag dem </w:t>
      </w:r>
      <w:r w:rsidR="00B60284">
        <w:t>OGAW-</w:t>
      </w:r>
      <w:r w:rsidR="000977D3" w:rsidRPr="000977D3">
        <w:t>Sondervermögen zustehen soll, darf die Gesellschaft keinen niedrigeren Rücknahmeabschlag berechnen oder von der Berechnung ganz absehen.</w:t>
      </w:r>
    </w:p>
    <w:p w14:paraId="6AE32833" w14:textId="77777777" w:rsidR="009213BA" w:rsidRDefault="004571F4" w:rsidP="00D26B76">
      <w:pPr>
        <w:pStyle w:val="Bearb-Hinweis"/>
        <w:pBdr>
          <w:top w:val="single" w:sz="4" w:space="1" w:color="auto"/>
          <w:left w:val="single" w:sz="4" w:space="4" w:color="auto"/>
          <w:bottom w:val="single" w:sz="4" w:space="1" w:color="auto"/>
          <w:right w:val="single" w:sz="4" w:space="4" w:color="auto"/>
        </w:pBdr>
      </w:pPr>
      <w:r>
        <w:t>6</w:t>
      </w:r>
      <w:r w:rsidR="004D0F75">
        <w:t>.</w:t>
      </w:r>
      <w:r w:rsidR="00693BAB">
        <w:t xml:space="preserve"> Die Regelung des § 18 </w:t>
      </w:r>
      <w:r w:rsidR="00C926E4">
        <w:t>Absatz</w:t>
      </w:r>
      <w:r w:rsidR="00693BAB">
        <w:t xml:space="preserve"> 3 der </w:t>
      </w:r>
      <w:r w:rsidR="003B239E">
        <w:t xml:space="preserve">AABen </w:t>
      </w:r>
      <w:r w:rsidR="00693BAB">
        <w:t xml:space="preserve">sieht als Abrechnungsstichtag für Anteilabrufe und Rücknahmeaufträge regelmäßig den auf den Eingang des Anteilsabrufs- bzw. Rücknahmeauftrags folgenden Wertermittlungstag vor. </w:t>
      </w:r>
      <w:r w:rsidR="007E0A1C">
        <w:t xml:space="preserve">Sofern hiervon abgewichen werden soll, ist hier eine entsprechende Regelung zu treffen. </w:t>
      </w:r>
      <w:r w:rsidR="007F4F81">
        <w:t>Z</w:t>
      </w:r>
      <w:r w:rsidR="00C12072">
        <w:t>.B.:</w:t>
      </w:r>
    </w:p>
    <w:p w14:paraId="278A27A3" w14:textId="77777777" w:rsidR="009213BA" w:rsidRDefault="00856318" w:rsidP="00D26B76">
      <w:pPr>
        <w:pStyle w:val="Bearb-Hinweis"/>
        <w:pBdr>
          <w:top w:val="single" w:sz="4" w:space="1" w:color="auto"/>
          <w:left w:val="single" w:sz="4" w:space="4" w:color="auto"/>
          <w:bottom w:val="single" w:sz="4" w:space="1" w:color="auto"/>
          <w:right w:val="single" w:sz="4" w:space="4" w:color="auto"/>
        </w:pBdr>
        <w:rPr>
          <w:b/>
        </w:rPr>
      </w:pPr>
      <w:r>
        <w:rPr>
          <w:b/>
        </w:rPr>
        <w:lastRenderedPageBreak/>
        <w:t>„</w:t>
      </w:r>
      <w:r w:rsidR="00E05B04">
        <w:rPr>
          <w:b/>
        </w:rPr>
        <w:t xml:space="preserve">Abweichend von § 18 </w:t>
      </w:r>
      <w:r w:rsidR="00C926E4">
        <w:rPr>
          <w:b/>
        </w:rPr>
        <w:t>Absatz</w:t>
      </w:r>
      <w:r w:rsidR="00C12072">
        <w:rPr>
          <w:b/>
        </w:rPr>
        <w:t xml:space="preserve"> 3 der </w:t>
      </w:r>
      <w:r w:rsidR="00C51040">
        <w:rPr>
          <w:b/>
        </w:rPr>
        <w:t xml:space="preserve">AABen </w:t>
      </w:r>
      <w:r w:rsidR="00C12072">
        <w:rPr>
          <w:b/>
        </w:rPr>
        <w:t>ist der Abrechnungsstichtag für Anteilabrufe und Rücknahmeaufträge spätestens der übernächste auf den Eingang des Anteilabrufs- bzw. Rücknahmeauftrags folgende Wertermittlungstag.</w:t>
      </w:r>
      <w:r>
        <w:rPr>
          <w:b/>
        </w:rPr>
        <w:t>“</w:t>
      </w:r>
    </w:p>
    <w:p w14:paraId="7A1F5C79" w14:textId="77777777" w:rsidR="009213BA" w:rsidRDefault="004571F4" w:rsidP="00D26B76">
      <w:pPr>
        <w:pStyle w:val="Bearb-Hinweis"/>
        <w:pBdr>
          <w:top w:val="single" w:sz="4" w:space="1" w:color="auto"/>
          <w:left w:val="single" w:sz="4" w:space="4" w:color="auto"/>
          <w:bottom w:val="single" w:sz="4" w:space="1" w:color="auto"/>
          <w:right w:val="single" w:sz="4" w:space="4" w:color="auto"/>
        </w:pBdr>
      </w:pPr>
      <w:r>
        <w:t>7</w:t>
      </w:r>
      <w:r w:rsidR="004D0F75">
        <w:t xml:space="preserve">. </w:t>
      </w:r>
      <w:r w:rsidR="00892D4E" w:rsidRPr="003B239E">
        <w:t xml:space="preserve">Bei </w:t>
      </w:r>
      <w:r w:rsidR="00B60284" w:rsidRPr="003B239E">
        <w:t>OGAW-</w:t>
      </w:r>
      <w:r w:rsidR="00892D4E" w:rsidRPr="003B239E">
        <w:t xml:space="preserve">Sondervermögen, die schwerpunktmäßig, d. h. zu mindestens 51 % in Vermögensgegenstände investieren, die an einer ausländischen Börse gehandelt werden („Länderfonds“), kann in Ergänzung zur Regelung des § 18 </w:t>
      </w:r>
      <w:r w:rsidR="00C926E4" w:rsidRPr="003B239E">
        <w:t>Absatz</w:t>
      </w:r>
      <w:r w:rsidR="00892D4E" w:rsidRPr="003B239E">
        <w:t xml:space="preserve"> 4 </w:t>
      </w:r>
      <w:r w:rsidR="003B239E" w:rsidRPr="003B239E">
        <w:t xml:space="preserve">der </w:t>
      </w:r>
      <w:r w:rsidR="005A0C08" w:rsidRPr="003B239E">
        <w:t xml:space="preserve">AABen </w:t>
      </w:r>
      <w:r w:rsidR="00892D4E" w:rsidRPr="003B239E">
        <w:t>auch an gesetzlichen Feiertagen in dem jeweiligen Land, die keine Börsenhandelstage sind, von einer Anteilspreisermittlung abgesehen werden:</w:t>
      </w:r>
    </w:p>
    <w:p w14:paraId="70075D2A" w14:textId="01A37959" w:rsidR="00D26B76" w:rsidRDefault="00892D4E" w:rsidP="00D26B76">
      <w:pPr>
        <w:pStyle w:val="Bearb-Hinweis"/>
        <w:pBdr>
          <w:top w:val="single" w:sz="4" w:space="1" w:color="auto"/>
          <w:left w:val="single" w:sz="4" w:space="4" w:color="auto"/>
          <w:bottom w:val="single" w:sz="4" w:space="1" w:color="auto"/>
          <w:right w:val="single" w:sz="4" w:space="4" w:color="auto"/>
        </w:pBdr>
        <w:rPr>
          <w:b/>
        </w:rPr>
      </w:pPr>
      <w:r w:rsidRPr="003B239E">
        <w:rPr>
          <w:b/>
        </w:rPr>
        <w:t xml:space="preserve">„Abweichend von § 18 </w:t>
      </w:r>
      <w:r w:rsidR="00C926E4" w:rsidRPr="003B239E">
        <w:rPr>
          <w:b/>
        </w:rPr>
        <w:t>Absatz</w:t>
      </w:r>
      <w:r w:rsidRPr="003B239E">
        <w:rPr>
          <w:b/>
        </w:rPr>
        <w:t xml:space="preserve"> 4 der</w:t>
      </w:r>
      <w:r w:rsidR="00721F82">
        <w:rPr>
          <w:b/>
        </w:rPr>
        <w:t xml:space="preserve"> </w:t>
      </w:r>
      <w:r w:rsidR="001D15C8" w:rsidRPr="003B239E">
        <w:rPr>
          <w:b/>
        </w:rPr>
        <w:t>AABen</w:t>
      </w:r>
      <w:r w:rsidRPr="003B239E">
        <w:rPr>
          <w:b/>
        </w:rPr>
        <w:t xml:space="preserve"> kann auch an gesetzlichen Feiertagen in …… [Land], die keine Börsenhandelstage sind, von einer Ermittlung des Ausgabe- und Rücknahmepreises abgesehen werden; das Nähere regelt der Verkaufsprospekt.</w:t>
      </w:r>
      <w:r w:rsidR="00FD5C83">
        <w:rPr>
          <w:b/>
        </w:rPr>
        <w:t>“</w:t>
      </w:r>
    </w:p>
    <w:p w14:paraId="49172647" w14:textId="77777777" w:rsidR="00D26B76" w:rsidRDefault="00693BAB" w:rsidP="00770973">
      <w:pPr>
        <w:pStyle w:val="Paragr-berschr"/>
      </w:pPr>
      <w:r w:rsidRPr="00D26B76">
        <w:t>Baustein 7</w:t>
      </w:r>
      <w:r w:rsidRPr="00D26B76">
        <w:br/>
        <w:t>Kosten</w:t>
      </w:r>
    </w:p>
    <w:p w14:paraId="078ECC7E" w14:textId="5AFE3108" w:rsidR="00D26B76" w:rsidRPr="00D26B76" w:rsidRDefault="007725B3" w:rsidP="00AC1962">
      <w:pPr>
        <w:pStyle w:val="Paragr-berschr"/>
      </w:pPr>
      <w:r w:rsidRPr="00D26B76">
        <w:t xml:space="preserve">Einzelheiten </w:t>
      </w:r>
      <w:r w:rsidR="003B239E" w:rsidRPr="00D26B76">
        <w:t xml:space="preserve">finden sich </w:t>
      </w:r>
      <w:r w:rsidRPr="00D26B76">
        <w:t>i</w:t>
      </w:r>
      <w:r w:rsidR="00941775" w:rsidRPr="00D26B76">
        <w:t xml:space="preserve">n den </w:t>
      </w:r>
      <w:r w:rsidRPr="00D26B76">
        <w:t>Musterbaustein</w:t>
      </w:r>
      <w:r w:rsidR="00941775" w:rsidRPr="00D26B76">
        <w:t>en</w:t>
      </w:r>
      <w:r w:rsidRPr="00D26B76">
        <w:t xml:space="preserve"> für Kostenregelungen für Sondervermögen</w:t>
      </w:r>
      <w:r w:rsidR="00184574" w:rsidRPr="00D26B76">
        <w:t>.</w:t>
      </w:r>
      <w:r w:rsidR="00ED11FA" w:rsidRPr="00D26B76">
        <w:rPr>
          <w:rStyle w:val="Funotenzeichen"/>
          <w:b w:val="0"/>
          <w:bCs/>
          <w:szCs w:val="22"/>
        </w:rPr>
        <w:footnoteReference w:id="3"/>
      </w:r>
    </w:p>
    <w:p w14:paraId="7B3E97A3" w14:textId="50CDF076" w:rsidR="00A859A7" w:rsidRPr="00D26B76" w:rsidRDefault="00693BAB" w:rsidP="00D26B76">
      <w:pPr>
        <w:pStyle w:val="Bearb-Hinweis"/>
        <w:shd w:val="clear" w:color="auto" w:fill="auto"/>
        <w:jc w:val="center"/>
        <w:rPr>
          <w:b/>
          <w:bCs/>
        </w:rPr>
      </w:pPr>
      <w:r w:rsidRPr="00D26B76">
        <w:rPr>
          <w:b/>
          <w:bCs/>
        </w:rPr>
        <w:t>ERTRAGSVERWENDUNG UND GESCHÄFTSJAHR</w:t>
      </w:r>
    </w:p>
    <w:p w14:paraId="2B4C2F51" w14:textId="77777777" w:rsidR="00941775" w:rsidRPr="0080236B" w:rsidRDefault="00941775" w:rsidP="00BC2105">
      <w:pPr>
        <w:pStyle w:val="Bearb-Hinweis"/>
        <w:pBdr>
          <w:top w:val="single" w:sz="4" w:space="1" w:color="auto"/>
          <w:left w:val="single" w:sz="4" w:space="4" w:color="auto"/>
          <w:bottom w:val="single" w:sz="4" w:space="1" w:color="auto"/>
          <w:right w:val="single" w:sz="4" w:space="4" w:color="auto"/>
        </w:pBdr>
      </w:pPr>
      <w:r w:rsidRPr="0080236B">
        <w:rPr>
          <w:u w:val="single"/>
        </w:rPr>
        <w:t>Bearbeiterhinweis</w:t>
      </w:r>
      <w:r w:rsidRPr="0080236B">
        <w:t>:</w:t>
      </w:r>
    </w:p>
    <w:p w14:paraId="24C00DDE" w14:textId="77777777" w:rsidR="00941775" w:rsidRPr="0080236B" w:rsidRDefault="00941775" w:rsidP="00941775">
      <w:pPr>
        <w:pStyle w:val="Bearb-Hinweis"/>
        <w:pBdr>
          <w:top w:val="single" w:sz="4" w:space="1" w:color="auto"/>
          <w:left w:val="single" w:sz="4" w:space="4" w:color="auto"/>
          <w:bottom w:val="single" w:sz="4" w:space="1" w:color="auto"/>
          <w:right w:val="single" w:sz="4" w:space="4" w:color="auto"/>
        </w:pBdr>
      </w:pPr>
      <w:r w:rsidRPr="0080236B">
        <w:lastRenderedPageBreak/>
        <w:t>Wenn für das OGAW-Sondervermögen einzeln</w:t>
      </w:r>
      <w:r>
        <w:t>e Anteilklassen gebildet werden, ist dies bei der Ertragsverwendung</w:t>
      </w:r>
      <w:r w:rsidRPr="0080236B">
        <w:t xml:space="preserve"> </w:t>
      </w:r>
      <w:r>
        <w:t>zu berücksichtigen, indem</w:t>
      </w:r>
      <w:r w:rsidR="00CE5951">
        <w:t xml:space="preserve"> formuliert wird, dass</w:t>
      </w:r>
      <w:r>
        <w:t xml:space="preserve"> die </w:t>
      </w:r>
      <w:r w:rsidR="00CE5951">
        <w:t xml:space="preserve">Ausschüttung oder Thesaurierung </w:t>
      </w:r>
      <w:r>
        <w:t>„anteilig</w:t>
      </w:r>
      <w:r w:rsidR="00CE5951">
        <w:t xml:space="preserve"> je Anteilklasse</w:t>
      </w:r>
      <w:r>
        <w:t>“</w:t>
      </w:r>
      <w:r w:rsidR="00CE5951">
        <w:t xml:space="preserve"> erfolgt.</w:t>
      </w:r>
    </w:p>
    <w:p w14:paraId="76E0D683" w14:textId="77777777" w:rsidR="00693BAB" w:rsidRPr="00AC259A" w:rsidRDefault="00693BAB">
      <w:pPr>
        <w:pStyle w:val="Paragr-berschr"/>
        <w:rPr>
          <w:szCs w:val="24"/>
        </w:rPr>
      </w:pPr>
      <w:r w:rsidRPr="00AC259A">
        <w:rPr>
          <w:szCs w:val="24"/>
        </w:rPr>
        <w:t>Baustein 8</w:t>
      </w:r>
      <w:r w:rsidRPr="00AC259A">
        <w:rPr>
          <w:szCs w:val="24"/>
        </w:rPr>
        <w:br/>
        <w:t>Ausschüttung</w:t>
      </w:r>
    </w:p>
    <w:p w14:paraId="2A9249C4" w14:textId="77777777" w:rsidR="00693BAB" w:rsidRDefault="00426AAA" w:rsidP="00426AAA">
      <w:pPr>
        <w:pStyle w:val="Listenabsatz"/>
        <w:ind w:left="0"/>
      </w:pPr>
      <w:r>
        <w:t xml:space="preserve">1. </w:t>
      </w:r>
      <w:r w:rsidR="00693BAB">
        <w:t xml:space="preserve">Die Gesellschaft schüttet grundsätzlich die während des Geschäftsjahres für Rechnung des </w:t>
      </w:r>
      <w:r w:rsidR="00B60284">
        <w:t>OGAW-</w:t>
      </w:r>
      <w:r w:rsidR="00693BAB">
        <w:t>Sondervermögens angefallenen und nicht zur</w:t>
      </w:r>
      <w:r w:rsidR="00E745B4">
        <w:t xml:space="preserve"> Kosten</w:t>
      </w:r>
      <w:r w:rsidR="00693BAB">
        <w:t xml:space="preserve">deckung verwendeten </w:t>
      </w:r>
      <w:r w:rsidR="00693BAB" w:rsidRPr="00E5358B">
        <w:t xml:space="preserve">Zinsen, Dividenden und </w:t>
      </w:r>
      <w:r w:rsidR="00E5358B" w:rsidRPr="00E5358B">
        <w:t xml:space="preserve">sonstige </w:t>
      </w:r>
      <w:r w:rsidR="00693BAB" w:rsidRPr="00E5358B">
        <w:t xml:space="preserve">Erträge </w:t>
      </w:r>
      <w:r w:rsidR="00485D6A" w:rsidRPr="00FF0F65">
        <w:t>&lt;</w:t>
      </w:r>
      <w:r w:rsidR="00E745B4" w:rsidRPr="00E5358B">
        <w:t>unter Be</w:t>
      </w:r>
      <w:r w:rsidR="00693BAB" w:rsidRPr="00E5358B">
        <w:t>rücksichtigung des zugehörigen Ertragsausgleichs</w:t>
      </w:r>
      <w:r w:rsidR="00485D6A" w:rsidRPr="00FF0F65">
        <w:t>&gt;</w:t>
      </w:r>
      <w:r w:rsidR="00693BAB" w:rsidRPr="00E5358B">
        <w:t xml:space="preserve"> aus.</w:t>
      </w:r>
      <w:r w:rsidR="00693BAB">
        <w:t xml:space="preserve"> </w:t>
      </w:r>
      <w:r w:rsidR="00B60284">
        <w:t xml:space="preserve">Realisierte </w:t>
      </w:r>
      <w:r w:rsidR="00693BAB">
        <w:t>Veräußerungsge</w:t>
      </w:r>
      <w:r w:rsidR="00D0139A">
        <w:t>winne</w:t>
      </w:r>
      <w:r w:rsidR="00693BAB">
        <w:t xml:space="preserve"> </w:t>
      </w:r>
      <w:r w:rsidR="00485D6A" w:rsidRPr="00FF0F65">
        <w:t>&lt;</w:t>
      </w:r>
      <w:r w:rsidR="00693BAB">
        <w:t>unter Berücksichti</w:t>
      </w:r>
      <w:r w:rsidR="00E745B4">
        <w:t>gung des zugehörigen Ertragsaus</w:t>
      </w:r>
      <w:r w:rsidR="00693BAB">
        <w:t>gleichs</w:t>
      </w:r>
      <w:r w:rsidR="00485D6A" w:rsidRPr="00FF0F65">
        <w:t>&gt;</w:t>
      </w:r>
      <w:r w:rsidR="00693BAB">
        <w:t xml:space="preserve"> können ebenfalls zur Ausschüttung herangezogen werden.</w:t>
      </w:r>
    </w:p>
    <w:p w14:paraId="4924A684" w14:textId="77777777" w:rsidR="00174954" w:rsidRPr="00ED6CAA" w:rsidRDefault="00174954" w:rsidP="00B76F46">
      <w:pPr>
        <w:pStyle w:val="Bearb-Hinweis"/>
        <w:pBdr>
          <w:top w:val="single" w:sz="4" w:space="1" w:color="auto"/>
          <w:left w:val="single" w:sz="4" w:space="4" w:color="auto"/>
          <w:bottom w:val="single" w:sz="4" w:space="1" w:color="auto"/>
          <w:right w:val="single" w:sz="4" w:space="1" w:color="auto"/>
        </w:pBdr>
        <w:rPr>
          <w:color w:val="000000" w:themeColor="text1"/>
          <w:u w:val="single"/>
        </w:rPr>
      </w:pPr>
      <w:r w:rsidRPr="00ED6CAA">
        <w:rPr>
          <w:color w:val="000000" w:themeColor="text1"/>
          <w:u w:val="single"/>
        </w:rPr>
        <w:t xml:space="preserve">Bearbeiterhinweis: </w:t>
      </w:r>
    </w:p>
    <w:p w14:paraId="1E14E647" w14:textId="77777777" w:rsidR="00942FA6" w:rsidRPr="00ED6CAA" w:rsidRDefault="00942FA6" w:rsidP="00B76F46">
      <w:pPr>
        <w:pStyle w:val="Bearb-Hinweis"/>
        <w:pBdr>
          <w:top w:val="single" w:sz="4" w:space="1" w:color="auto"/>
          <w:left w:val="single" w:sz="4" w:space="4" w:color="auto"/>
          <w:bottom w:val="single" w:sz="4" w:space="1" w:color="auto"/>
          <w:right w:val="single" w:sz="4" w:space="1" w:color="auto"/>
        </w:pBdr>
        <w:rPr>
          <w:color w:val="000000" w:themeColor="text1"/>
        </w:rPr>
      </w:pPr>
      <w:r w:rsidRPr="00ED6CAA">
        <w:rPr>
          <w:color w:val="000000" w:themeColor="text1"/>
        </w:rPr>
        <w:t xml:space="preserve">Sofern zum Zwecke stetiger Ausschüttungen auch die Möglichkeit einer Substanzausschüttung (Zuführung aus dem Sondervermögen i.S.v. § 12 (1) I.3 KARBV) vorgesehen werden soll, könnte folgende Formulierung in Absatz 1 ergänzt werden: </w:t>
      </w:r>
    </w:p>
    <w:p w14:paraId="22D300D8" w14:textId="77777777" w:rsidR="00942FA6" w:rsidRPr="00ED6CAA" w:rsidRDefault="00942FA6" w:rsidP="00B76F46">
      <w:pPr>
        <w:pStyle w:val="Bearb-Hinweis"/>
        <w:pBdr>
          <w:top w:val="single" w:sz="4" w:space="1" w:color="auto"/>
          <w:left w:val="single" w:sz="4" w:space="4" w:color="auto"/>
          <w:bottom w:val="single" w:sz="4" w:space="1" w:color="auto"/>
          <w:right w:val="single" w:sz="4" w:space="1" w:color="auto"/>
        </w:pBdr>
        <w:rPr>
          <w:b/>
          <w:bCs/>
          <w:color w:val="000000" w:themeColor="text1"/>
          <w:u w:val="single"/>
        </w:rPr>
      </w:pPr>
      <w:r w:rsidRPr="00ED6CAA">
        <w:rPr>
          <w:b/>
          <w:bCs/>
          <w:color w:val="000000" w:themeColor="text1"/>
          <w:u w:val="single"/>
        </w:rPr>
        <w:t>„</w:t>
      </w:r>
      <w:bookmarkStart w:id="9" w:name="_Hlk128501410"/>
      <w:r w:rsidR="00766B8C" w:rsidRPr="00ED6CAA">
        <w:rPr>
          <w:b/>
          <w:bCs/>
          <w:color w:val="000000" w:themeColor="text1"/>
          <w:u w:val="single"/>
        </w:rPr>
        <w:t>Ferner können aus dem Sondervermögen auch am Ausschüttungstag verfügbare Bankguthaben gemäß § 1 Ziffer 3 ausgeschüttet werden (Zuführung aus dem Sondervermögen/Substanzausschüttung).“</w:t>
      </w:r>
      <w:bookmarkEnd w:id="9"/>
    </w:p>
    <w:p w14:paraId="13D42A26" w14:textId="614E6C12" w:rsidR="00EC75D9" w:rsidRPr="00ED6CAA" w:rsidRDefault="00EC75D9" w:rsidP="00B76F46">
      <w:pPr>
        <w:pStyle w:val="Bearb-Hinweis"/>
        <w:pBdr>
          <w:top w:val="single" w:sz="4" w:space="1" w:color="auto"/>
          <w:left w:val="single" w:sz="4" w:space="4" w:color="auto"/>
          <w:bottom w:val="single" w:sz="4" w:space="1" w:color="auto"/>
          <w:right w:val="single" w:sz="4" w:space="1" w:color="auto"/>
        </w:pBdr>
        <w:rPr>
          <w:color w:val="000000" w:themeColor="text1"/>
        </w:rPr>
      </w:pPr>
      <w:r w:rsidRPr="00ED6CAA">
        <w:rPr>
          <w:color w:val="000000" w:themeColor="text1"/>
        </w:rPr>
        <w:t xml:space="preserve">Bei Verwendung einer solchen Ausschüttungsklausel sind zusätzliche Erläuterungen in Verkaufsprospekt und </w:t>
      </w:r>
      <w:r w:rsidR="00AC6EBC" w:rsidRPr="00ED6CAA">
        <w:rPr>
          <w:color w:val="000000" w:themeColor="text1"/>
        </w:rPr>
        <w:t>Basisinformationsblatt</w:t>
      </w:r>
      <w:r w:rsidRPr="00ED6CAA">
        <w:rPr>
          <w:color w:val="000000" w:themeColor="text1"/>
        </w:rPr>
        <w:t xml:space="preserve"> erforderlich</w:t>
      </w:r>
      <w:r w:rsidR="007B2769" w:rsidRPr="00ED6CAA">
        <w:rPr>
          <w:color w:val="000000" w:themeColor="text1"/>
        </w:rPr>
        <w:t>:</w:t>
      </w:r>
    </w:p>
    <w:p w14:paraId="4D61B8D0" w14:textId="2D711D77" w:rsidR="007B2769" w:rsidRPr="00ED6CAA" w:rsidRDefault="00B35CCB" w:rsidP="00B76F46">
      <w:pPr>
        <w:pStyle w:val="Bearb-Hinweis"/>
        <w:pBdr>
          <w:top w:val="single" w:sz="4" w:space="1" w:color="auto"/>
          <w:left w:val="single" w:sz="4" w:space="4" w:color="auto"/>
          <w:bottom w:val="single" w:sz="4" w:space="1" w:color="auto"/>
          <w:right w:val="single" w:sz="4" w:space="1" w:color="auto"/>
        </w:pBdr>
        <w:spacing w:after="100" w:afterAutospacing="1"/>
        <w:rPr>
          <w:iCs/>
          <w:color w:val="000000" w:themeColor="text1"/>
        </w:rPr>
      </w:pPr>
      <w:r w:rsidRPr="00ED6CAA">
        <w:rPr>
          <w:iCs/>
          <w:color w:val="000000" w:themeColor="text1"/>
        </w:rPr>
        <w:t xml:space="preserve">Denn </w:t>
      </w:r>
      <w:r w:rsidR="007B2769" w:rsidRPr="00ED6CAA">
        <w:rPr>
          <w:iCs/>
          <w:color w:val="000000" w:themeColor="text1"/>
        </w:rPr>
        <w:t xml:space="preserve">die Kapitalverwaltungsgesellschaft </w:t>
      </w:r>
      <w:r w:rsidRPr="00ED6CAA">
        <w:rPr>
          <w:iCs/>
          <w:color w:val="000000" w:themeColor="text1"/>
        </w:rPr>
        <w:t xml:space="preserve">ist </w:t>
      </w:r>
      <w:r w:rsidR="007B2769" w:rsidRPr="00ED6CAA">
        <w:rPr>
          <w:iCs/>
          <w:color w:val="000000" w:themeColor="text1"/>
        </w:rPr>
        <w:t xml:space="preserve">bei der Verwendung einer solchen Ausschüttungsklausel dazu verpflichtet, den Anleger in den Vertriebsunterlagen (1) auf eine solche Ausschüttungsmöglichkeit hinzuweisen, (2) </w:t>
      </w:r>
      <w:r w:rsidR="007B2769" w:rsidRPr="00ED6CAA">
        <w:rPr>
          <w:iCs/>
          <w:color w:val="000000" w:themeColor="text1"/>
        </w:rPr>
        <w:lastRenderedPageBreak/>
        <w:t xml:space="preserve">den Begriff „Zuführungen aus dem Sondervermögen“ für den Anleger verständlich zu erklären sowie (3) die damit verbundenen Risiken darzustellen. </w:t>
      </w:r>
    </w:p>
    <w:p w14:paraId="3315D6D2" w14:textId="540E848C" w:rsidR="007B2769" w:rsidRPr="00ED6CAA" w:rsidRDefault="007B2769" w:rsidP="00B76F46">
      <w:pPr>
        <w:pStyle w:val="Bearb-Hinweis"/>
        <w:pBdr>
          <w:top w:val="single" w:sz="4" w:space="1" w:color="auto"/>
          <w:left w:val="single" w:sz="4" w:space="4" w:color="auto"/>
          <w:bottom w:val="single" w:sz="4" w:space="1" w:color="auto"/>
          <w:right w:val="single" w:sz="4" w:space="1" w:color="auto"/>
        </w:pBdr>
        <w:spacing w:after="100" w:afterAutospacing="1"/>
        <w:rPr>
          <w:iCs/>
          <w:color w:val="000000" w:themeColor="text1"/>
        </w:rPr>
      </w:pPr>
      <w:r w:rsidRPr="00ED6CAA">
        <w:rPr>
          <w:iCs/>
          <w:color w:val="000000" w:themeColor="text1"/>
        </w:rPr>
        <w:t>Damit der Anleger Kenntnis davon erlangt, dass neben realisierten Veräußerungsgewinnen und sonstigen Erträgen auch Zuführungen aus dem Sondervermögen zur Ausschüttung herangezogen werden können, muss sowohl im Verkaufsprospekt als auch</w:t>
      </w:r>
      <w:r w:rsidR="008B02B1" w:rsidRPr="00ED6CAA">
        <w:rPr>
          <w:iCs/>
          <w:color w:val="000000" w:themeColor="text1"/>
        </w:rPr>
        <w:t xml:space="preserve"> im Basisinformationsblatt (im Abschnitt „Um welche Art von Produkt handelt es sich?“) </w:t>
      </w:r>
      <w:r w:rsidRPr="00ED6CAA">
        <w:rPr>
          <w:iCs/>
          <w:color w:val="000000" w:themeColor="text1"/>
        </w:rPr>
        <w:t>darauf explizit hingewiesen werden. Um sicherzustellen, dass der Anleger den Begriff „</w:t>
      </w:r>
      <w:bookmarkStart w:id="10" w:name="_Hlk147499657"/>
      <w:r w:rsidRPr="00ED6CAA">
        <w:rPr>
          <w:iCs/>
          <w:color w:val="000000" w:themeColor="text1"/>
        </w:rPr>
        <w:t>Zuführung aus dem Sondervermögen“</w:t>
      </w:r>
      <w:bookmarkEnd w:id="10"/>
      <w:r w:rsidRPr="00ED6CAA">
        <w:rPr>
          <w:iCs/>
          <w:color w:val="000000" w:themeColor="text1"/>
        </w:rPr>
        <w:t xml:space="preserve"> </w:t>
      </w:r>
      <w:r w:rsidR="00447E8D" w:rsidRPr="00ED6CAA">
        <w:rPr>
          <w:iCs/>
          <w:color w:val="000000" w:themeColor="text1"/>
        </w:rPr>
        <w:t xml:space="preserve">bzw. </w:t>
      </w:r>
      <w:r w:rsidR="008C2AE2" w:rsidRPr="00ED6CAA">
        <w:rPr>
          <w:iCs/>
          <w:color w:val="000000" w:themeColor="text1"/>
        </w:rPr>
        <w:t xml:space="preserve">den Begriff </w:t>
      </w:r>
      <w:r w:rsidR="00447E8D" w:rsidRPr="00ED6CAA">
        <w:rPr>
          <w:iCs/>
          <w:color w:val="000000" w:themeColor="text1"/>
        </w:rPr>
        <w:t>„</w:t>
      </w:r>
      <w:bookmarkStart w:id="11" w:name="_Hlk147499598"/>
      <w:r w:rsidR="00447E8D" w:rsidRPr="00ED6CAA">
        <w:rPr>
          <w:iCs/>
          <w:color w:val="000000" w:themeColor="text1"/>
        </w:rPr>
        <w:t>Substanzausschüttung</w:t>
      </w:r>
      <w:bookmarkEnd w:id="11"/>
      <w:r w:rsidR="00447E8D" w:rsidRPr="00ED6CAA">
        <w:rPr>
          <w:iCs/>
          <w:color w:val="000000" w:themeColor="text1"/>
        </w:rPr>
        <w:t xml:space="preserve">" </w:t>
      </w:r>
      <w:r w:rsidRPr="00ED6CAA">
        <w:rPr>
          <w:iCs/>
          <w:color w:val="000000" w:themeColor="text1"/>
        </w:rPr>
        <w:t>richtig versteht, muss die Kapitalverwaltungsgesellschaft zudem in den Vertriebsunterlagen (d.h. in den Anlagebedingungen, im Verkaufsprospekt und</w:t>
      </w:r>
      <w:r w:rsidR="00477700" w:rsidRPr="00ED6CAA">
        <w:rPr>
          <w:iCs/>
          <w:color w:val="000000" w:themeColor="text1"/>
        </w:rPr>
        <w:t xml:space="preserve"> </w:t>
      </w:r>
      <w:r w:rsidR="008B02B1" w:rsidRPr="00ED6CAA">
        <w:rPr>
          <w:iCs/>
          <w:color w:val="000000" w:themeColor="text1"/>
        </w:rPr>
        <w:t>im Basisinformationsblatt</w:t>
      </w:r>
      <w:r w:rsidRPr="00ED6CAA">
        <w:rPr>
          <w:iCs/>
          <w:color w:val="000000" w:themeColor="text1"/>
        </w:rPr>
        <w:t xml:space="preserve">) </w:t>
      </w:r>
      <w:r w:rsidR="00447E8D" w:rsidRPr="00ED6CAA">
        <w:rPr>
          <w:iCs/>
          <w:color w:val="000000" w:themeColor="text1"/>
        </w:rPr>
        <w:t xml:space="preserve">den verwendeten </w:t>
      </w:r>
      <w:r w:rsidRPr="00ED6CAA">
        <w:rPr>
          <w:iCs/>
          <w:color w:val="000000" w:themeColor="text1"/>
        </w:rPr>
        <w:t xml:space="preserve">Begriff für einen Laien verständlich erläutern. Schließlich müssen die damit verbundenen Risiken (z.B. Minderung des Anteilwertes, falls die vorhandenen Erträge und Veräußerungsgewinne zur Erreichung der Mindestausschüttung nicht ausreichen) ausgeführt werden. </w:t>
      </w:r>
    </w:p>
    <w:p w14:paraId="67DF0F74" w14:textId="77777777" w:rsidR="007B2769" w:rsidRPr="00ED6CAA" w:rsidRDefault="007B2769" w:rsidP="00B76F46">
      <w:pPr>
        <w:pStyle w:val="Bearb-Hinweis"/>
        <w:pBdr>
          <w:top w:val="single" w:sz="4" w:space="1" w:color="auto"/>
          <w:left w:val="single" w:sz="4" w:space="4" w:color="auto"/>
          <w:bottom w:val="single" w:sz="4" w:space="1" w:color="auto"/>
          <w:right w:val="single" w:sz="4" w:space="1" w:color="auto"/>
        </w:pBdr>
        <w:spacing w:after="100" w:afterAutospacing="1"/>
        <w:rPr>
          <w:iCs/>
          <w:color w:val="000000" w:themeColor="text1"/>
        </w:rPr>
      </w:pPr>
      <w:r w:rsidRPr="00ED6CAA">
        <w:rPr>
          <w:iCs/>
          <w:color w:val="000000" w:themeColor="text1"/>
        </w:rPr>
        <w:t xml:space="preserve">Sollte der Fonds über </w:t>
      </w:r>
      <w:r w:rsidR="003E3E43" w:rsidRPr="00ED6CAA">
        <w:rPr>
          <w:iCs/>
          <w:color w:val="000000" w:themeColor="text1"/>
        </w:rPr>
        <w:t>mehrere</w:t>
      </w:r>
      <w:r w:rsidRPr="00ED6CAA">
        <w:rPr>
          <w:iCs/>
          <w:color w:val="000000" w:themeColor="text1"/>
        </w:rPr>
        <w:t xml:space="preserve"> Anteilklassen verfügen, hat die Kapitalverwaltungsgesellschaft sicherzustellen, dass die durch die </w:t>
      </w:r>
      <w:bookmarkStart w:id="12" w:name="_Hlk147499228"/>
      <w:r w:rsidRPr="00ED6CAA">
        <w:rPr>
          <w:iCs/>
          <w:color w:val="000000" w:themeColor="text1"/>
        </w:rPr>
        <w:t>Zuführung aus dem Sondervermögen entstandenen Transaktionskosten</w:t>
      </w:r>
      <w:bookmarkEnd w:id="12"/>
      <w:r w:rsidRPr="00ED6CAA">
        <w:rPr>
          <w:iCs/>
          <w:color w:val="000000" w:themeColor="text1"/>
        </w:rPr>
        <w:t xml:space="preserve"> nur </w:t>
      </w:r>
      <w:r w:rsidR="003E3E43" w:rsidRPr="00ED6CAA">
        <w:rPr>
          <w:iCs/>
          <w:color w:val="000000" w:themeColor="text1"/>
        </w:rPr>
        <w:t>denjenigen</w:t>
      </w:r>
      <w:r w:rsidRPr="00ED6CAA">
        <w:rPr>
          <w:iCs/>
          <w:color w:val="000000" w:themeColor="text1"/>
        </w:rPr>
        <w:t xml:space="preserve"> Anteilklasse</w:t>
      </w:r>
      <w:r w:rsidR="00B76F46" w:rsidRPr="00ED6CAA">
        <w:rPr>
          <w:iCs/>
          <w:color w:val="000000" w:themeColor="text1"/>
        </w:rPr>
        <w:t>n</w:t>
      </w:r>
      <w:r w:rsidRPr="00ED6CAA">
        <w:rPr>
          <w:iCs/>
          <w:color w:val="000000" w:themeColor="text1"/>
        </w:rPr>
        <w:t xml:space="preserve"> belastet werden</w:t>
      </w:r>
      <w:r w:rsidR="003E3E43" w:rsidRPr="00ED6CAA">
        <w:rPr>
          <w:iCs/>
          <w:color w:val="000000" w:themeColor="text1"/>
        </w:rPr>
        <w:t xml:space="preserve">, </w:t>
      </w:r>
      <w:r w:rsidR="00B76F46" w:rsidRPr="00ED6CAA">
        <w:rPr>
          <w:iCs/>
          <w:color w:val="000000" w:themeColor="text1"/>
        </w:rPr>
        <w:t>bei denen</w:t>
      </w:r>
      <w:r w:rsidR="003E3E43" w:rsidRPr="00ED6CAA">
        <w:rPr>
          <w:iCs/>
          <w:color w:val="000000" w:themeColor="text1"/>
        </w:rPr>
        <w:t xml:space="preserve"> diese Ausschüttungen </w:t>
      </w:r>
      <w:r w:rsidR="00B76F46" w:rsidRPr="00ED6CAA">
        <w:rPr>
          <w:iCs/>
          <w:color w:val="000000" w:themeColor="text1"/>
        </w:rPr>
        <w:t>vorgenommen werden.</w:t>
      </w:r>
      <w:r w:rsidR="003E3E43" w:rsidRPr="00ED6CAA">
        <w:rPr>
          <w:iCs/>
          <w:color w:val="000000" w:themeColor="text1"/>
        </w:rPr>
        <w:t xml:space="preserve"> </w:t>
      </w:r>
    </w:p>
    <w:p w14:paraId="7360B4D2" w14:textId="1163F82A" w:rsidR="003E3E43" w:rsidRPr="00ED6CAA" w:rsidRDefault="007B2769" w:rsidP="00B76F46">
      <w:pPr>
        <w:pStyle w:val="Bearb-Hinweis"/>
        <w:pBdr>
          <w:top w:val="single" w:sz="4" w:space="1" w:color="auto"/>
          <w:left w:val="single" w:sz="4" w:space="4" w:color="auto"/>
          <w:bottom w:val="single" w:sz="4" w:space="1" w:color="auto"/>
          <w:right w:val="single" w:sz="4" w:space="1" w:color="auto"/>
        </w:pBdr>
        <w:rPr>
          <w:iCs/>
          <w:color w:val="000000" w:themeColor="text1"/>
        </w:rPr>
      </w:pPr>
      <w:r w:rsidRPr="00ED6CAA">
        <w:rPr>
          <w:iCs/>
          <w:color w:val="000000" w:themeColor="text1"/>
        </w:rPr>
        <w:t>Schließlich hat die Kapitalverwaltungsgesellschaft die Ausschüttungspolitik im Rahmen des Liquiditätsmanagements des betreffenden Fonds zu berücksichtigen.</w:t>
      </w:r>
    </w:p>
    <w:p w14:paraId="43341EFA" w14:textId="60411739" w:rsidR="00B345E9" w:rsidRPr="00ED6CAA" w:rsidRDefault="00B345E9" w:rsidP="00B76F46">
      <w:pPr>
        <w:pStyle w:val="Bearb-Hinweis"/>
        <w:pBdr>
          <w:top w:val="single" w:sz="4" w:space="1" w:color="auto"/>
          <w:left w:val="single" w:sz="4" w:space="4" w:color="auto"/>
          <w:bottom w:val="single" w:sz="4" w:space="1" w:color="auto"/>
          <w:right w:val="single" w:sz="4" w:space="1" w:color="auto"/>
        </w:pBdr>
        <w:rPr>
          <w:iCs/>
          <w:color w:val="000000" w:themeColor="text1"/>
        </w:rPr>
      </w:pPr>
      <w:r w:rsidRPr="00ED6CAA">
        <w:rPr>
          <w:iCs/>
          <w:color w:val="000000" w:themeColor="text1"/>
        </w:rPr>
        <w:t>Bei OGAW-</w:t>
      </w:r>
      <w:r w:rsidR="00F32030" w:rsidRPr="00ED6CAA">
        <w:rPr>
          <w:iCs/>
          <w:color w:val="000000" w:themeColor="text1"/>
        </w:rPr>
        <w:t>Sondervermögen</w:t>
      </w:r>
      <w:r w:rsidRPr="00ED6CAA">
        <w:rPr>
          <w:iCs/>
          <w:color w:val="000000" w:themeColor="text1"/>
        </w:rPr>
        <w:t>, die im Rahmen von Riester-Verträgen eingesetzt werden, sind Substanzausschüttungen nicht zulässig.</w:t>
      </w:r>
    </w:p>
    <w:p w14:paraId="6005DAC4" w14:textId="19B73D02" w:rsidR="00693BAB" w:rsidRDefault="00693BAB">
      <w:r>
        <w:t xml:space="preserve">2. Ausschüttbare Erträge gemäß </w:t>
      </w:r>
      <w:r w:rsidR="00C926E4">
        <w:t>Absatz</w:t>
      </w:r>
      <w:r>
        <w:t> 1 können zur Ausschüttung in spä</w:t>
      </w:r>
      <w:r w:rsidR="00E745B4">
        <w:t>te</w:t>
      </w:r>
      <w:r>
        <w:t xml:space="preserve">ren Geschäftsjahren insoweit vorgetragen </w:t>
      </w:r>
      <w:r w:rsidR="00E745B4">
        <w:t>werden, als die Summe der vorgetrage</w:t>
      </w:r>
      <w:r>
        <w:t xml:space="preserve">nen </w:t>
      </w:r>
      <w:r>
        <w:lastRenderedPageBreak/>
        <w:t xml:space="preserve">Erträge </w:t>
      </w:r>
      <w:r w:rsidR="00721F82">
        <w:t>[</w:t>
      </w:r>
      <w:r>
        <w:t>...</w:t>
      </w:r>
      <w:r w:rsidR="00721F82">
        <w:t xml:space="preserve">] </w:t>
      </w:r>
      <w:r w:rsidR="001636E2" w:rsidRPr="00FF0F65">
        <w:t>Prozent</w:t>
      </w:r>
      <w:r>
        <w:t xml:space="preserve"> des jeweiligen Wertes des </w:t>
      </w:r>
      <w:r w:rsidR="00B60284">
        <w:t>OGAW-</w:t>
      </w:r>
      <w:r>
        <w:t>Sondervermögens zum Ende des Geschäftsjahres nicht übersteigt. Erträge aus Rumpfgeschäftsjahren können vollständig vorgetragen werden.</w:t>
      </w:r>
    </w:p>
    <w:p w14:paraId="5BA6826B" w14:textId="77777777" w:rsidR="00693BAB" w:rsidRDefault="00693BAB">
      <w:pPr>
        <w:pStyle w:val="Bearb-Hinweis"/>
        <w:pBdr>
          <w:top w:val="single" w:sz="4" w:space="1" w:color="auto"/>
          <w:left w:val="single" w:sz="4" w:space="4" w:color="auto"/>
          <w:bottom w:val="single" w:sz="4" w:space="1" w:color="auto"/>
          <w:right w:val="single" w:sz="4" w:space="4" w:color="auto"/>
        </w:pBdr>
      </w:pPr>
      <w:r>
        <w:rPr>
          <w:u w:val="single"/>
        </w:rPr>
        <w:t>Bearbeiterhinweis</w:t>
      </w:r>
      <w:r>
        <w:t>:</w:t>
      </w:r>
    </w:p>
    <w:p w14:paraId="1DE62E52" w14:textId="77777777" w:rsidR="00693BAB" w:rsidRDefault="00693BAB">
      <w:pPr>
        <w:pStyle w:val="Bearb-Hinweis"/>
        <w:pBdr>
          <w:top w:val="single" w:sz="4" w:space="1" w:color="auto"/>
          <w:left w:val="single" w:sz="4" w:space="4" w:color="auto"/>
          <w:bottom w:val="single" w:sz="4" w:space="1" w:color="auto"/>
          <w:right w:val="single" w:sz="4" w:space="4" w:color="auto"/>
        </w:pBdr>
      </w:pPr>
      <w:r>
        <w:t>Maximal darf die Summe der vorgetragenen Erträge 15 % des</w:t>
      </w:r>
      <w:r w:rsidR="00E745B4">
        <w:t xml:space="preserve"> jeweili</w:t>
      </w:r>
      <w:r>
        <w:t xml:space="preserve">gen Wertes des </w:t>
      </w:r>
      <w:r w:rsidR="00B60284">
        <w:t>OGAW-</w:t>
      </w:r>
      <w:r>
        <w:t>Sondervermögens zum Ende des Geschäfts</w:t>
      </w:r>
      <w:r w:rsidR="00E745B4">
        <w:t>jahres be</w:t>
      </w:r>
      <w:r>
        <w:t>tragen.</w:t>
      </w:r>
    </w:p>
    <w:p w14:paraId="228BC566" w14:textId="77777777" w:rsidR="00693BAB" w:rsidRDefault="00693BAB">
      <w:r>
        <w:t>3. Im Interesse der Substanzerhaltung könn</w:t>
      </w:r>
      <w:r w:rsidR="00E745B4">
        <w:t>en Erträge teilweise, in Sonder</w:t>
      </w:r>
      <w:r>
        <w:t xml:space="preserve">fällen auch vollständig zur Wiederanlage im </w:t>
      </w:r>
      <w:r w:rsidR="00B60284">
        <w:t>OGAW-</w:t>
      </w:r>
      <w:r>
        <w:t>Sondervermögen be</w:t>
      </w:r>
      <w:r w:rsidR="00E745B4">
        <w:t>stimmt wer</w:t>
      </w:r>
      <w:r>
        <w:t>den.</w:t>
      </w:r>
    </w:p>
    <w:p w14:paraId="6720AA13" w14:textId="77777777" w:rsidR="00693BAB" w:rsidRDefault="00693BAB" w:rsidP="003A440D">
      <w:pPr>
        <w:spacing w:after="0"/>
      </w:pPr>
      <w:r>
        <w:t xml:space="preserve">4. Die Ausschüttung erfolgt jährlich innerhalb von </w:t>
      </w:r>
      <w:r w:rsidR="00BC05BF">
        <w:t>vier </w:t>
      </w:r>
      <w:r>
        <w:t>Monaten nach Schluss des Geschäftsjahres.</w:t>
      </w:r>
    </w:p>
    <w:p w14:paraId="6B299ACD" w14:textId="77777777" w:rsidR="00184574" w:rsidRDefault="00184574" w:rsidP="003A440D">
      <w:pPr>
        <w:spacing w:after="0"/>
      </w:pPr>
    </w:p>
    <w:p w14:paraId="3624AD00" w14:textId="77777777" w:rsidR="00693BAB" w:rsidRDefault="00693BAB" w:rsidP="003A440D">
      <w:pPr>
        <w:pStyle w:val="Paragr-berschr"/>
        <w:spacing w:before="0" w:after="0"/>
        <w:rPr>
          <w:sz w:val="22"/>
        </w:rPr>
      </w:pPr>
      <w:r>
        <w:rPr>
          <w:sz w:val="22"/>
        </w:rPr>
        <w:t xml:space="preserve">Alternativ: </w:t>
      </w:r>
      <w:r>
        <w:rPr>
          <w:sz w:val="22"/>
        </w:rPr>
        <w:noBreakHyphen/>
        <w:t> Thesaurierung der Erträge</w:t>
      </w:r>
    </w:p>
    <w:p w14:paraId="380D9CA9" w14:textId="77777777" w:rsidR="00DD7C2D" w:rsidRPr="00144F78" w:rsidRDefault="00DD7C2D" w:rsidP="00BC2105">
      <w:pPr>
        <w:spacing w:after="0"/>
      </w:pPr>
    </w:p>
    <w:p w14:paraId="7D3FDA0E" w14:textId="77777777" w:rsidR="00693BAB" w:rsidRDefault="00693BAB" w:rsidP="003A440D">
      <w:pPr>
        <w:spacing w:after="0"/>
      </w:pPr>
      <w:r>
        <w:t xml:space="preserve">Die Gesellschaft legt die während des Geschäftsjahres für Rechnung des </w:t>
      </w:r>
      <w:r w:rsidR="000B643E">
        <w:t>OGAW-</w:t>
      </w:r>
      <w:r>
        <w:t>Sondervermögens angefallenen und nicht zu</w:t>
      </w:r>
      <w:r w:rsidR="00E745B4">
        <w:t>r Kostendeckung verwendeten Zin</w:t>
      </w:r>
      <w:r>
        <w:t xml:space="preserve">sen, Dividenden und sonstigen Erträge </w:t>
      </w:r>
      <w:r w:rsidR="00485D6A" w:rsidRPr="002C2445">
        <w:t>&lt;</w:t>
      </w:r>
      <w:r>
        <w:t>unter Berücksichtigung des zugehörigen Ertragsausgleichs</w:t>
      </w:r>
      <w:r w:rsidR="00485D6A" w:rsidRPr="002C2445">
        <w:t>&gt;</w:t>
      </w:r>
      <w:r>
        <w:t xml:space="preserve"> sowie die </w:t>
      </w:r>
      <w:r w:rsidR="00E5358B">
        <w:t xml:space="preserve">realisierten </w:t>
      </w:r>
      <w:r>
        <w:t>Veräußerun</w:t>
      </w:r>
      <w:r w:rsidR="00E745B4">
        <w:t xml:space="preserve">gsgewinne im </w:t>
      </w:r>
      <w:r w:rsidR="000B643E">
        <w:t>OGAW-</w:t>
      </w:r>
      <w:r w:rsidR="00E745B4">
        <w:t>Sondervermögen wie</w:t>
      </w:r>
      <w:r>
        <w:t>der an.</w:t>
      </w:r>
    </w:p>
    <w:p w14:paraId="159D430D" w14:textId="77777777" w:rsidR="00DD7C2D" w:rsidRDefault="00DD7C2D" w:rsidP="003A440D">
      <w:pPr>
        <w:spacing w:after="0"/>
      </w:pPr>
    </w:p>
    <w:p w14:paraId="4D21F5DB" w14:textId="77777777" w:rsidR="001248C3" w:rsidRDefault="00693BAB" w:rsidP="00BC2105">
      <w:pPr>
        <w:pStyle w:val="Bearb-Hinweis"/>
        <w:widowControl w:val="0"/>
        <w:pBdr>
          <w:top w:val="single" w:sz="4" w:space="1" w:color="auto"/>
          <w:left w:val="single" w:sz="4" w:space="4" w:color="auto"/>
          <w:bottom w:val="single" w:sz="4" w:space="1" w:color="auto"/>
          <w:right w:val="single" w:sz="4" w:space="4" w:color="auto"/>
        </w:pBdr>
      </w:pPr>
      <w:r>
        <w:rPr>
          <w:u w:val="single"/>
        </w:rPr>
        <w:t>Bearbeiterhinweis</w:t>
      </w:r>
      <w:r>
        <w:t>:</w:t>
      </w:r>
    </w:p>
    <w:p w14:paraId="2AE1ABE0" w14:textId="77777777" w:rsidR="00ED095C" w:rsidRDefault="00693BAB" w:rsidP="00BC2105">
      <w:pPr>
        <w:pStyle w:val="Bearb-Hinweis"/>
        <w:widowControl w:val="0"/>
        <w:pBdr>
          <w:top w:val="single" w:sz="4" w:space="1" w:color="auto"/>
          <w:left w:val="single" w:sz="4" w:space="4" w:color="auto"/>
          <w:bottom w:val="single" w:sz="4" w:space="1" w:color="auto"/>
          <w:right w:val="single" w:sz="4" w:space="4" w:color="auto"/>
        </w:pBdr>
        <w:rPr>
          <w:b/>
        </w:rPr>
      </w:pPr>
      <w:r>
        <w:t>Sofern ein Ertragsausgleichsverfahren ni</w:t>
      </w:r>
      <w:r w:rsidR="00E745B4">
        <w:t>cht stattfindet, ist hierauf be</w:t>
      </w:r>
      <w:r>
        <w:t>sonders hinzuweisen. Folgender Text könnte Verwendung finden:</w:t>
      </w:r>
      <w:r w:rsidRPr="00D0139A">
        <w:rPr>
          <w:b/>
        </w:rPr>
        <w:t xml:space="preserve"> </w:t>
      </w:r>
    </w:p>
    <w:p w14:paraId="2E8B77A2" w14:textId="77777777" w:rsidR="00693BAB" w:rsidRDefault="00693BAB" w:rsidP="00BC2105">
      <w:pPr>
        <w:pStyle w:val="Bearb-Hinweis"/>
        <w:widowControl w:val="0"/>
        <w:pBdr>
          <w:top w:val="single" w:sz="4" w:space="1" w:color="auto"/>
          <w:left w:val="single" w:sz="4" w:space="4" w:color="auto"/>
          <w:bottom w:val="single" w:sz="4" w:space="1" w:color="auto"/>
          <w:right w:val="single" w:sz="4" w:space="4" w:color="auto"/>
        </w:pBdr>
        <w:rPr>
          <w:b/>
        </w:rPr>
      </w:pPr>
      <w:r>
        <w:rPr>
          <w:b/>
        </w:rPr>
        <w:t>„Ein Er</w:t>
      </w:r>
      <w:r w:rsidR="007A6104">
        <w:rPr>
          <w:b/>
        </w:rPr>
        <w:t>tragsaus</w:t>
      </w:r>
      <w:r>
        <w:rPr>
          <w:b/>
        </w:rPr>
        <w:t>gleichsverfahren wird nicht durchgeführt.“</w:t>
      </w:r>
    </w:p>
    <w:p w14:paraId="2BDD5BC3" w14:textId="77777777" w:rsidR="00770973" w:rsidRDefault="00770973" w:rsidP="00770973"/>
    <w:p w14:paraId="4441182C" w14:textId="6E361555" w:rsidR="00693BAB" w:rsidRPr="003A440D" w:rsidRDefault="00693BAB" w:rsidP="003A440D">
      <w:pPr>
        <w:pStyle w:val="Paragr-berschr"/>
        <w:widowControl w:val="0"/>
        <w:rPr>
          <w:szCs w:val="24"/>
        </w:rPr>
      </w:pPr>
      <w:r w:rsidRPr="003A440D">
        <w:rPr>
          <w:szCs w:val="24"/>
        </w:rPr>
        <w:lastRenderedPageBreak/>
        <w:t>Baustein 9</w:t>
      </w:r>
      <w:r w:rsidRPr="003A440D">
        <w:rPr>
          <w:szCs w:val="24"/>
        </w:rPr>
        <w:br/>
        <w:t>Geschäftsjahr</w:t>
      </w:r>
    </w:p>
    <w:p w14:paraId="10493464" w14:textId="77777777" w:rsidR="00693BAB" w:rsidRDefault="00693BAB" w:rsidP="003A440D">
      <w:pPr>
        <w:widowControl w:val="0"/>
      </w:pPr>
      <w:r>
        <w:t xml:space="preserve">Das Geschäftsjahr des </w:t>
      </w:r>
      <w:r w:rsidR="000B643E">
        <w:t>OGAW-</w:t>
      </w:r>
      <w:r>
        <w:t>Sondervermög</w:t>
      </w:r>
      <w:r w:rsidR="00F23839">
        <w:t xml:space="preserve">ens beginnt am ............... </w:t>
      </w:r>
      <w:r>
        <w:t xml:space="preserve"> und endet am </w:t>
      </w:r>
      <w:r w:rsidR="00F23839">
        <w:t>...............</w:t>
      </w:r>
    </w:p>
    <w:p w14:paraId="636BA316" w14:textId="77777777" w:rsidR="00103617" w:rsidRDefault="00103617" w:rsidP="00103617">
      <w:pPr>
        <w:pStyle w:val="Paragr-berschr"/>
        <w:widowControl w:val="0"/>
        <w:rPr>
          <w:szCs w:val="24"/>
        </w:rPr>
      </w:pPr>
      <w:r w:rsidRPr="003A440D">
        <w:rPr>
          <w:szCs w:val="24"/>
        </w:rPr>
        <w:t xml:space="preserve">Baustein </w:t>
      </w:r>
      <w:r>
        <w:rPr>
          <w:szCs w:val="24"/>
        </w:rPr>
        <w:t>10</w:t>
      </w:r>
      <w:r w:rsidRPr="003A440D">
        <w:rPr>
          <w:szCs w:val="24"/>
        </w:rPr>
        <w:br/>
      </w:r>
      <w:bookmarkStart w:id="13" w:name="_Hlk36646918"/>
      <w:r w:rsidR="00CE6D28">
        <w:rPr>
          <w:szCs w:val="24"/>
        </w:rPr>
        <w:t>Rückgabefrist</w:t>
      </w:r>
      <w:bookmarkEnd w:id="13"/>
      <w:r w:rsidR="009E535E">
        <w:rPr>
          <w:szCs w:val="24"/>
        </w:rPr>
        <w:t xml:space="preserve"> und Rückgabebeschränkung</w:t>
      </w:r>
    </w:p>
    <w:p w14:paraId="335C7D20" w14:textId="77777777" w:rsidR="006E751A" w:rsidRDefault="009E535E" w:rsidP="009B313C">
      <w:pPr>
        <w:pStyle w:val="Bearb-Hinweis"/>
        <w:widowControl w:val="0"/>
        <w:pBdr>
          <w:top w:val="single" w:sz="4" w:space="1" w:color="auto"/>
          <w:left w:val="single" w:sz="4" w:space="4" w:color="auto"/>
          <w:bottom w:val="single" w:sz="4" w:space="1" w:color="auto"/>
          <w:right w:val="single" w:sz="4" w:space="4" w:color="auto"/>
        </w:pBdr>
      </w:pPr>
      <w:r>
        <w:t xml:space="preserve">1. </w:t>
      </w:r>
      <w:r w:rsidR="00D1739C">
        <w:t xml:space="preserve">Sofern die Rückgabe von Anteilen gemäß </w:t>
      </w:r>
      <w:r w:rsidR="00D1739C" w:rsidRPr="005871FF">
        <w:t xml:space="preserve">§ 98 Absatz 1a KAGB </w:t>
      </w:r>
      <w:r w:rsidR="00D1739C">
        <w:t xml:space="preserve">nur </w:t>
      </w:r>
      <w:r w:rsidR="00D1739C" w:rsidRPr="005871FF">
        <w:t xml:space="preserve">unter Einhaltung einer Frist </w:t>
      </w:r>
      <w:r w:rsidR="00A12F4A">
        <w:t xml:space="preserve">(maximal ein Monat) </w:t>
      </w:r>
      <w:r w:rsidR="00D1739C" w:rsidRPr="005871FF">
        <w:t xml:space="preserve">erfolgen </w:t>
      </w:r>
      <w:r w:rsidR="001D3CEF">
        <w:t>soll</w:t>
      </w:r>
      <w:r w:rsidR="006E751A">
        <w:t xml:space="preserve">, </w:t>
      </w:r>
      <w:r w:rsidR="001D3CEF">
        <w:t>kann</w:t>
      </w:r>
      <w:r w:rsidR="006E751A">
        <w:t xml:space="preserve"> folgende Formulierung </w:t>
      </w:r>
      <w:r w:rsidR="001D3CEF">
        <w:t>verwendet werden</w:t>
      </w:r>
      <w:r w:rsidR="006E751A">
        <w:t>:</w:t>
      </w:r>
      <w:r w:rsidR="006E751A" w:rsidRPr="007E58E4">
        <w:t xml:space="preserve"> </w:t>
      </w:r>
    </w:p>
    <w:p w14:paraId="7E39114F" w14:textId="77777777" w:rsidR="00515E1C" w:rsidRDefault="005871FF" w:rsidP="009B313C">
      <w:pPr>
        <w:pStyle w:val="Bearb-Hinweis"/>
        <w:widowControl w:val="0"/>
        <w:pBdr>
          <w:top w:val="single" w:sz="4" w:space="1" w:color="auto"/>
          <w:left w:val="single" w:sz="4" w:space="4" w:color="auto"/>
          <w:bottom w:val="single" w:sz="4" w:space="1" w:color="auto"/>
          <w:right w:val="single" w:sz="4" w:space="4" w:color="auto"/>
        </w:pBdr>
        <w:rPr>
          <w:b/>
        </w:rPr>
      </w:pPr>
      <w:r>
        <w:rPr>
          <w:b/>
        </w:rPr>
        <w:t>„</w:t>
      </w:r>
      <w:r w:rsidR="006E751A" w:rsidRPr="006E751A">
        <w:rPr>
          <w:b/>
        </w:rPr>
        <w:t xml:space="preserve">Anteilrückgaben </w:t>
      </w:r>
      <w:r>
        <w:rPr>
          <w:b/>
        </w:rPr>
        <w:t xml:space="preserve">nach § 17 Absatz 3 AAB </w:t>
      </w:r>
      <w:r w:rsidR="006E751A" w:rsidRPr="006E751A">
        <w:rPr>
          <w:b/>
        </w:rPr>
        <w:t xml:space="preserve">sind unter Einhaltung einer Rückgabefrist von </w:t>
      </w:r>
      <w:r w:rsidR="00D1739C">
        <w:rPr>
          <w:b/>
        </w:rPr>
        <w:t>[</w:t>
      </w:r>
      <w:r w:rsidR="00515E1C">
        <w:rPr>
          <w:b/>
        </w:rPr>
        <w:t>…</w:t>
      </w:r>
      <w:r w:rsidR="00D1739C">
        <w:rPr>
          <w:b/>
        </w:rPr>
        <w:t>]</w:t>
      </w:r>
      <w:r w:rsidR="006E751A" w:rsidRPr="006E751A">
        <w:rPr>
          <w:b/>
        </w:rPr>
        <w:t xml:space="preserve"> </w:t>
      </w:r>
      <w:r w:rsidR="00D1739C">
        <w:rPr>
          <w:b/>
        </w:rPr>
        <w:t xml:space="preserve">Tagen </w:t>
      </w:r>
      <w:r w:rsidR="006E751A" w:rsidRPr="006E751A">
        <w:rPr>
          <w:b/>
        </w:rPr>
        <w:t xml:space="preserve">durch eine unwiderrufliche Rückgabeerklärung gegenüber </w:t>
      </w:r>
      <w:r w:rsidR="004813C1">
        <w:rPr>
          <w:b/>
        </w:rPr>
        <w:t>&lt;</w:t>
      </w:r>
      <w:r w:rsidR="006E751A" w:rsidRPr="006E751A">
        <w:rPr>
          <w:b/>
        </w:rPr>
        <w:t>der depotführenden Stelle</w:t>
      </w:r>
      <w:r w:rsidR="004813C1">
        <w:rPr>
          <w:b/>
        </w:rPr>
        <w:t>&gt;</w:t>
      </w:r>
      <w:r w:rsidR="006E751A" w:rsidRPr="006E751A">
        <w:rPr>
          <w:b/>
        </w:rPr>
        <w:t xml:space="preserve"> möglich.</w:t>
      </w:r>
      <w:r w:rsidR="00E865C9" w:rsidRPr="009E535E" w:rsidDel="00E865C9">
        <w:rPr>
          <w:b/>
        </w:rPr>
        <w:t xml:space="preserve"> </w:t>
      </w:r>
      <w:r w:rsidR="006A5C16" w:rsidRPr="009E535E">
        <w:rPr>
          <w:b/>
        </w:rPr>
        <w:t>[</w:t>
      </w:r>
      <w:r w:rsidR="006E751A" w:rsidRPr="006E751A">
        <w:rPr>
          <w:b/>
        </w:rPr>
        <w:t>Die Anteile, auf die sich die Erklärung bezieht, sind bis zur tatsächlichen Rückgabe von der depotführen</w:t>
      </w:r>
      <w:r w:rsidR="006E751A" w:rsidRPr="005871FF">
        <w:rPr>
          <w:b/>
        </w:rPr>
        <w:t>den Stelle zu sperren.</w:t>
      </w:r>
      <w:r w:rsidR="006A5C16">
        <w:rPr>
          <w:b/>
        </w:rPr>
        <w:t>]</w:t>
      </w:r>
      <w:r w:rsidR="00515E1C">
        <w:rPr>
          <w:b/>
        </w:rPr>
        <w:t xml:space="preserve"> </w:t>
      </w:r>
      <w:r w:rsidR="000C1236">
        <w:rPr>
          <w:b/>
        </w:rPr>
        <w:t>[</w:t>
      </w:r>
      <w:r w:rsidR="00515E1C" w:rsidRPr="00515E1C">
        <w:rPr>
          <w:b/>
        </w:rPr>
        <w:t>Bei nicht im Inland in einem Depot verwahrten Anteilen wird die Rückgabeerklärung erst wirksam und beginnt die Frist erst zu laufen, wenn die Verwahrstelle die zurückgegebenen Anteile in ein Sperrdepot übertragen hat.</w:t>
      </w:r>
      <w:r w:rsidR="000C1236">
        <w:rPr>
          <w:b/>
        </w:rPr>
        <w:t>]</w:t>
      </w:r>
      <w:r w:rsidR="00515E1C">
        <w:rPr>
          <w:b/>
        </w:rPr>
        <w:t>“</w:t>
      </w:r>
    </w:p>
    <w:p w14:paraId="6E59F7FC" w14:textId="77777777" w:rsidR="009E535E" w:rsidRDefault="009E535E" w:rsidP="009B313C">
      <w:pPr>
        <w:pStyle w:val="Bearb-Hinweis"/>
        <w:widowControl w:val="0"/>
        <w:pBdr>
          <w:top w:val="single" w:sz="4" w:space="1" w:color="auto"/>
          <w:left w:val="single" w:sz="4" w:space="4" w:color="auto"/>
          <w:bottom w:val="single" w:sz="4" w:space="1" w:color="auto"/>
          <w:right w:val="single" w:sz="4" w:space="4" w:color="auto"/>
        </w:pBdr>
      </w:pPr>
      <w:r>
        <w:t>2. Sofern Rücknahmebeschränkungen nach § 17 Abs. 4 AAB ausgeschlossen werden sollen, kann folgende Formulierung verwendet werden:</w:t>
      </w:r>
      <w:r w:rsidRPr="007E58E4">
        <w:t xml:space="preserve"> </w:t>
      </w:r>
    </w:p>
    <w:p w14:paraId="0C8B7B28" w14:textId="77777777" w:rsidR="009E535E" w:rsidRPr="009E535E" w:rsidRDefault="009E535E" w:rsidP="009B313C">
      <w:pPr>
        <w:pStyle w:val="Bearb-Hinweis"/>
        <w:widowControl w:val="0"/>
        <w:pBdr>
          <w:top w:val="single" w:sz="4" w:space="1" w:color="auto"/>
          <w:left w:val="single" w:sz="4" w:space="4" w:color="auto"/>
          <w:bottom w:val="single" w:sz="4" w:space="1" w:color="auto"/>
          <w:right w:val="single" w:sz="4" w:space="4" w:color="auto"/>
        </w:pBdr>
        <w:rPr>
          <w:b/>
        </w:rPr>
      </w:pPr>
      <w:r>
        <w:rPr>
          <w:b/>
        </w:rPr>
        <w:t>„</w:t>
      </w:r>
      <w:r w:rsidRPr="009E535E">
        <w:rPr>
          <w:b/>
        </w:rPr>
        <w:t>Die Gesellschaft macht von der Möglichkeit nach § 17 Abs. 4 AAB, die Rücknahme von Anteilen zu beschränken, keinen Gebrauch</w:t>
      </w:r>
      <w:r>
        <w:rPr>
          <w:b/>
        </w:rPr>
        <w:t>.“</w:t>
      </w:r>
      <w:r w:rsidRPr="009E535E">
        <w:rPr>
          <w:b/>
        </w:rPr>
        <w:t xml:space="preserve"> </w:t>
      </w:r>
    </w:p>
    <w:p w14:paraId="5E0063B4" w14:textId="77777777" w:rsidR="009E535E" w:rsidRDefault="00B922EB" w:rsidP="009B313C">
      <w:pPr>
        <w:pStyle w:val="Bearb-Hinweis"/>
        <w:widowControl w:val="0"/>
        <w:pBdr>
          <w:top w:val="single" w:sz="4" w:space="1" w:color="auto"/>
          <w:left w:val="single" w:sz="4" w:space="4" w:color="auto"/>
          <w:bottom w:val="single" w:sz="4" w:space="1" w:color="auto"/>
          <w:right w:val="single" w:sz="4" w:space="4" w:color="auto"/>
        </w:pBdr>
      </w:pPr>
      <w:r>
        <w:t xml:space="preserve">3. Sofern Rücknahmebeschränkungen nach § 17 Abs. 4 AAB nicht ausgeschlossen werden sollen, ist der Schwellenwert anzugeben. Folgende Formulierung kann verwendet werden: </w:t>
      </w:r>
    </w:p>
    <w:p w14:paraId="4FFDD6BE" w14:textId="77777777" w:rsidR="009E535E" w:rsidRDefault="00B922EB" w:rsidP="009B313C">
      <w:pPr>
        <w:pStyle w:val="Bearb-Hinweis"/>
        <w:widowControl w:val="0"/>
        <w:pBdr>
          <w:top w:val="single" w:sz="4" w:space="1" w:color="auto"/>
          <w:left w:val="single" w:sz="4" w:space="4" w:color="auto"/>
          <w:bottom w:val="single" w:sz="4" w:space="1" w:color="auto"/>
          <w:right w:val="single" w:sz="4" w:space="4" w:color="auto"/>
        </w:pBdr>
        <w:rPr>
          <w:b/>
        </w:rPr>
      </w:pPr>
      <w:r>
        <w:rPr>
          <w:b/>
        </w:rPr>
        <w:lastRenderedPageBreak/>
        <w:t>„</w:t>
      </w:r>
      <w:r w:rsidRPr="00B922EB">
        <w:rPr>
          <w:b/>
        </w:rPr>
        <w:t>Die Gesellschaft kann die Rücknahme beschränken, wenn die Rückgabeverlangen der Anleger mindestens [x] % des Nettoinventarwertes erreichen (Schwellenwert).“</w:t>
      </w:r>
    </w:p>
    <w:p w14:paraId="58241582" w14:textId="77777777" w:rsidR="00103617" w:rsidRDefault="00103617" w:rsidP="003A440D">
      <w:pPr>
        <w:widowControl w:val="0"/>
      </w:pPr>
    </w:p>
    <w:p w14:paraId="7B59F7EF" w14:textId="56E5F2CC" w:rsidR="00693BAB" w:rsidRDefault="00693BAB" w:rsidP="00D77758">
      <w:pPr>
        <w:pageBreakBefore/>
      </w:pPr>
      <w:r w:rsidRPr="00AC1962">
        <w:lastRenderedPageBreak/>
        <w:t xml:space="preserve">Gemäß § </w:t>
      </w:r>
      <w:r w:rsidR="005879A7" w:rsidRPr="00AC1962">
        <w:t>208 KAGB</w:t>
      </w:r>
      <w:r w:rsidRPr="00AC1962">
        <w:t xml:space="preserve"> darf in Wertpapiere und Geldmarktinstrumente folgender </w:t>
      </w:r>
      <w:r w:rsidR="002579D5" w:rsidRPr="00AC1962">
        <w:t>Emittenten</w:t>
      </w:r>
      <w:r w:rsidRPr="00AC1962">
        <w:t xml:space="preserve"> mehr als 35 % des Wertes des </w:t>
      </w:r>
      <w:r w:rsidR="000B643E" w:rsidRPr="00AC1962">
        <w:t>OGAW-</w:t>
      </w:r>
      <w:r w:rsidRPr="00AC1962">
        <w:t xml:space="preserve">Sondervermögens angelegt werden, sofern dies in den </w:t>
      </w:r>
      <w:r w:rsidR="005879A7" w:rsidRPr="00AC1962">
        <w:t>Anlage</w:t>
      </w:r>
      <w:r w:rsidRPr="00AC1962">
        <w:t>bedingungen unter Angabe der betreffenden</w:t>
      </w:r>
      <w:r>
        <w:t xml:space="preserve"> </w:t>
      </w:r>
      <w:r w:rsidR="002579D5">
        <w:t>Emittenten</w:t>
      </w:r>
      <w:r>
        <w:t xml:space="preserve"> vorgesehen ist.</w:t>
      </w:r>
    </w:p>
    <w:p w14:paraId="4589989D" w14:textId="77777777" w:rsidR="00693BAB" w:rsidRPr="00D17841" w:rsidRDefault="00693BAB">
      <w:pPr>
        <w:spacing w:line="240" w:lineRule="auto"/>
        <w:rPr>
          <w:rFonts w:cs="Arial"/>
          <w:b/>
          <w:szCs w:val="22"/>
        </w:rPr>
      </w:pPr>
      <w:r w:rsidRPr="00D17841">
        <w:rPr>
          <w:b/>
          <w:bCs/>
        </w:rPr>
        <w:t>-</w:t>
      </w:r>
      <w:r>
        <w:tab/>
      </w:r>
      <w:r w:rsidRPr="00D17841">
        <w:rPr>
          <w:rFonts w:cs="Arial"/>
          <w:b/>
          <w:szCs w:val="22"/>
        </w:rPr>
        <w:t>Die Bundesrepublik Deutschland</w:t>
      </w:r>
    </w:p>
    <w:p w14:paraId="4AB0A490" w14:textId="77777777" w:rsidR="00693BAB" w:rsidRPr="00D17841" w:rsidRDefault="00693BAB">
      <w:pPr>
        <w:spacing w:line="240" w:lineRule="auto"/>
        <w:rPr>
          <w:rFonts w:cs="Arial"/>
          <w:b/>
          <w:szCs w:val="22"/>
        </w:rPr>
      </w:pPr>
      <w:r w:rsidRPr="00D17841">
        <w:rPr>
          <w:rFonts w:cs="Arial"/>
          <w:b/>
          <w:szCs w:val="22"/>
        </w:rPr>
        <w:t>-</w:t>
      </w:r>
      <w:r w:rsidRPr="00D17841">
        <w:rPr>
          <w:rFonts w:cs="Arial"/>
          <w:b/>
          <w:szCs w:val="22"/>
        </w:rPr>
        <w:tab/>
      </w:r>
      <w:r w:rsidR="00F813EC" w:rsidRPr="00D17841">
        <w:rPr>
          <w:rFonts w:cs="Arial"/>
          <w:b/>
          <w:szCs w:val="22"/>
        </w:rPr>
        <w:t xml:space="preserve">Als </w:t>
      </w:r>
      <w:r w:rsidRPr="00D17841">
        <w:rPr>
          <w:rFonts w:cs="Arial"/>
          <w:b/>
          <w:szCs w:val="22"/>
        </w:rPr>
        <w:t>Bundesländer:</w:t>
      </w:r>
    </w:p>
    <w:p w14:paraId="75A606DE" w14:textId="77777777" w:rsidR="00693BAB" w:rsidRPr="00D17841" w:rsidRDefault="00693BAB">
      <w:pPr>
        <w:spacing w:after="0" w:line="240" w:lineRule="auto"/>
        <w:rPr>
          <w:rFonts w:cs="Arial"/>
          <w:szCs w:val="22"/>
        </w:rPr>
      </w:pPr>
      <w:r w:rsidRPr="00D17841">
        <w:rPr>
          <w:rFonts w:cs="Arial"/>
          <w:b/>
          <w:szCs w:val="22"/>
        </w:rPr>
        <w:tab/>
      </w:r>
      <w:r w:rsidRPr="00D17841">
        <w:rPr>
          <w:rFonts w:cs="Arial"/>
          <w:bCs/>
          <w:szCs w:val="22"/>
        </w:rPr>
        <w:t>-</w:t>
      </w:r>
      <w:r w:rsidRPr="00D17841">
        <w:rPr>
          <w:rFonts w:cs="Arial"/>
          <w:b/>
          <w:szCs w:val="22"/>
        </w:rPr>
        <w:tab/>
      </w:r>
      <w:r w:rsidRPr="00D17841">
        <w:rPr>
          <w:rFonts w:cs="Arial"/>
          <w:szCs w:val="22"/>
        </w:rPr>
        <w:t>Baden-Württemberg</w:t>
      </w:r>
    </w:p>
    <w:p w14:paraId="7D627BB0" w14:textId="77777777" w:rsidR="00693BAB" w:rsidRPr="00D17841" w:rsidRDefault="00693BAB">
      <w:pPr>
        <w:spacing w:after="0" w:line="240" w:lineRule="auto"/>
        <w:rPr>
          <w:rFonts w:cs="Arial"/>
          <w:szCs w:val="22"/>
        </w:rPr>
      </w:pPr>
      <w:r w:rsidRPr="00D17841">
        <w:rPr>
          <w:rFonts w:cs="Arial"/>
          <w:szCs w:val="22"/>
        </w:rPr>
        <w:tab/>
        <w:t>-</w:t>
      </w:r>
      <w:r w:rsidRPr="00D17841">
        <w:rPr>
          <w:rFonts w:cs="Arial"/>
          <w:szCs w:val="22"/>
        </w:rPr>
        <w:tab/>
        <w:t>Bayern</w:t>
      </w:r>
    </w:p>
    <w:p w14:paraId="463017AE" w14:textId="77777777" w:rsidR="00693BAB" w:rsidRPr="00D17841" w:rsidRDefault="00693BAB">
      <w:pPr>
        <w:spacing w:after="0" w:line="240" w:lineRule="auto"/>
        <w:rPr>
          <w:rFonts w:cs="Arial"/>
          <w:szCs w:val="22"/>
        </w:rPr>
      </w:pPr>
      <w:r w:rsidRPr="00D17841">
        <w:rPr>
          <w:rFonts w:cs="Arial"/>
          <w:szCs w:val="22"/>
        </w:rPr>
        <w:tab/>
        <w:t>-</w:t>
      </w:r>
      <w:r w:rsidRPr="00D17841">
        <w:rPr>
          <w:rFonts w:cs="Arial"/>
          <w:szCs w:val="22"/>
        </w:rPr>
        <w:tab/>
        <w:t>Berlin</w:t>
      </w:r>
    </w:p>
    <w:p w14:paraId="3E095B15" w14:textId="77777777" w:rsidR="00693BAB" w:rsidRPr="00D17841" w:rsidRDefault="00693BAB">
      <w:pPr>
        <w:spacing w:after="0" w:line="240" w:lineRule="auto"/>
        <w:rPr>
          <w:rFonts w:cs="Arial"/>
          <w:szCs w:val="22"/>
        </w:rPr>
      </w:pPr>
      <w:r w:rsidRPr="00D17841">
        <w:rPr>
          <w:rFonts w:cs="Arial"/>
          <w:szCs w:val="22"/>
        </w:rPr>
        <w:tab/>
        <w:t>-</w:t>
      </w:r>
      <w:r w:rsidRPr="00D17841">
        <w:rPr>
          <w:rFonts w:cs="Arial"/>
          <w:szCs w:val="22"/>
        </w:rPr>
        <w:tab/>
        <w:t>Brandenburg</w:t>
      </w:r>
    </w:p>
    <w:p w14:paraId="07F80B8D"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Bremen</w:t>
      </w:r>
    </w:p>
    <w:p w14:paraId="51DFC84F"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Hamburg</w:t>
      </w:r>
    </w:p>
    <w:p w14:paraId="11145F5C"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Hessen</w:t>
      </w:r>
    </w:p>
    <w:p w14:paraId="559B0C09"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Mecklenburg-Vorpommern</w:t>
      </w:r>
    </w:p>
    <w:p w14:paraId="38299747"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Niedersachsen</w:t>
      </w:r>
    </w:p>
    <w:p w14:paraId="2E9D48C0"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Nordrhein-Westfalen</w:t>
      </w:r>
    </w:p>
    <w:p w14:paraId="62FCABF0"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Rheinland-Pfalz</w:t>
      </w:r>
    </w:p>
    <w:p w14:paraId="125D0D40"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Saarland</w:t>
      </w:r>
    </w:p>
    <w:p w14:paraId="16D21BC8"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Sachsen</w:t>
      </w:r>
    </w:p>
    <w:p w14:paraId="15807EBB"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Sachsen-Anhalt</w:t>
      </w:r>
    </w:p>
    <w:p w14:paraId="7D8A92D0"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Schleswig-Holstein</w:t>
      </w:r>
    </w:p>
    <w:p w14:paraId="482F2F52" w14:textId="77777777" w:rsidR="00693BAB" w:rsidRPr="00D17841" w:rsidRDefault="00693BAB">
      <w:pPr>
        <w:spacing w:after="0" w:line="240" w:lineRule="auto"/>
        <w:ind w:firstLine="708"/>
        <w:rPr>
          <w:rFonts w:cs="Arial"/>
          <w:szCs w:val="22"/>
        </w:rPr>
      </w:pPr>
      <w:r w:rsidRPr="00D17841">
        <w:rPr>
          <w:rFonts w:cs="Arial"/>
          <w:szCs w:val="22"/>
        </w:rPr>
        <w:t>-</w:t>
      </w:r>
      <w:r w:rsidRPr="00D17841">
        <w:rPr>
          <w:rFonts w:cs="Arial"/>
          <w:szCs w:val="22"/>
        </w:rPr>
        <w:tab/>
        <w:t>Thüringen</w:t>
      </w:r>
    </w:p>
    <w:p w14:paraId="55373D12" w14:textId="77777777" w:rsidR="00693BAB" w:rsidRPr="00D17841" w:rsidRDefault="00693BAB">
      <w:pPr>
        <w:pStyle w:val="Textkrper2"/>
        <w:rPr>
          <w:rFonts w:cs="Arial"/>
          <w:szCs w:val="22"/>
        </w:rPr>
      </w:pPr>
    </w:p>
    <w:p w14:paraId="432EC50A" w14:textId="77777777" w:rsidR="00B947D5" w:rsidRPr="00D17841" w:rsidRDefault="00693BAB" w:rsidP="00BC2105">
      <w:pPr>
        <w:spacing w:line="240" w:lineRule="auto"/>
        <w:rPr>
          <w:rFonts w:cs="Arial"/>
          <w:b/>
          <w:szCs w:val="22"/>
        </w:rPr>
      </w:pPr>
      <w:r w:rsidRPr="00D17841">
        <w:rPr>
          <w:rFonts w:cs="Arial"/>
          <w:b/>
          <w:szCs w:val="22"/>
        </w:rPr>
        <w:t>-</w:t>
      </w:r>
      <w:r w:rsidR="00B947D5" w:rsidRPr="00D17841">
        <w:rPr>
          <w:rFonts w:cs="Arial"/>
          <w:b/>
          <w:szCs w:val="22"/>
        </w:rPr>
        <w:tab/>
        <w:t>Europäische Union</w:t>
      </w:r>
    </w:p>
    <w:p w14:paraId="7449E0E1" w14:textId="77777777" w:rsidR="00693BAB" w:rsidRPr="00D17841" w:rsidRDefault="00693BAB" w:rsidP="00BC2105">
      <w:pPr>
        <w:spacing w:line="240" w:lineRule="auto"/>
        <w:rPr>
          <w:rFonts w:cs="Arial"/>
          <w:b/>
          <w:szCs w:val="22"/>
        </w:rPr>
      </w:pPr>
      <w:r w:rsidRPr="00D17841">
        <w:rPr>
          <w:rFonts w:cs="Arial"/>
          <w:b/>
          <w:szCs w:val="22"/>
        </w:rPr>
        <w:t>-</w:t>
      </w:r>
      <w:r w:rsidRPr="00D17841">
        <w:rPr>
          <w:rFonts w:cs="Arial"/>
          <w:b/>
          <w:szCs w:val="22"/>
        </w:rPr>
        <w:tab/>
      </w:r>
      <w:r w:rsidR="00235DDA" w:rsidRPr="00D17841">
        <w:rPr>
          <w:rFonts w:cs="Arial"/>
          <w:b/>
          <w:szCs w:val="22"/>
        </w:rPr>
        <w:t>Als EU-Mitgliedstaaten:</w:t>
      </w:r>
    </w:p>
    <w:p w14:paraId="5145062F" w14:textId="77777777" w:rsidR="00693BAB" w:rsidRPr="00D17841" w:rsidRDefault="00693BAB" w:rsidP="00AC1962">
      <w:pPr>
        <w:spacing w:after="0" w:line="240" w:lineRule="auto"/>
        <w:ind w:left="709"/>
        <w:rPr>
          <w:rFonts w:cs="Arial"/>
          <w:szCs w:val="22"/>
        </w:rPr>
      </w:pPr>
      <w:r w:rsidRPr="00D17841">
        <w:rPr>
          <w:rFonts w:cs="Arial"/>
          <w:szCs w:val="22"/>
        </w:rPr>
        <w:t>-</w:t>
      </w:r>
      <w:r w:rsidRPr="00D17841">
        <w:rPr>
          <w:rFonts w:cs="Arial"/>
          <w:szCs w:val="22"/>
        </w:rPr>
        <w:tab/>
        <w:t>Belgien</w:t>
      </w:r>
    </w:p>
    <w:p w14:paraId="600B0905" w14:textId="77777777" w:rsidR="000D25FD" w:rsidRPr="00D17841" w:rsidRDefault="00DE7CBA" w:rsidP="000D25FD">
      <w:pPr>
        <w:spacing w:after="0" w:line="240" w:lineRule="auto"/>
        <w:ind w:left="709"/>
        <w:rPr>
          <w:rFonts w:cs="Arial"/>
          <w:szCs w:val="22"/>
        </w:rPr>
      </w:pPr>
      <w:r w:rsidRPr="00D17841">
        <w:rPr>
          <w:rFonts w:cs="Arial"/>
          <w:szCs w:val="22"/>
        </w:rPr>
        <w:t>-</w:t>
      </w:r>
      <w:r w:rsidRPr="00D17841">
        <w:rPr>
          <w:rFonts w:cs="Arial"/>
          <w:szCs w:val="22"/>
        </w:rPr>
        <w:tab/>
      </w:r>
      <w:r w:rsidR="000D25FD" w:rsidRPr="00D17841">
        <w:rPr>
          <w:rFonts w:cs="Arial"/>
          <w:szCs w:val="22"/>
        </w:rPr>
        <w:t>Bulgarien</w:t>
      </w:r>
    </w:p>
    <w:p w14:paraId="2265FDC1"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Dänemark</w:t>
      </w:r>
    </w:p>
    <w:p w14:paraId="3DC48F09" w14:textId="77777777" w:rsidR="00693BAB" w:rsidRPr="00D17841" w:rsidRDefault="000D25FD">
      <w:pPr>
        <w:spacing w:after="0" w:line="240" w:lineRule="auto"/>
        <w:ind w:left="709"/>
        <w:rPr>
          <w:rFonts w:cs="Arial"/>
          <w:szCs w:val="22"/>
        </w:rPr>
      </w:pPr>
      <w:r w:rsidRPr="00D17841">
        <w:rPr>
          <w:rFonts w:cs="Arial"/>
          <w:szCs w:val="22"/>
        </w:rPr>
        <w:t>-</w:t>
      </w:r>
      <w:r w:rsidR="00693BAB" w:rsidRPr="00D17841">
        <w:rPr>
          <w:rFonts w:cs="Arial"/>
          <w:szCs w:val="22"/>
        </w:rPr>
        <w:tab/>
        <w:t>Estland</w:t>
      </w:r>
    </w:p>
    <w:p w14:paraId="38B00F68"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Finnland</w:t>
      </w:r>
    </w:p>
    <w:p w14:paraId="554BD907"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Frankreich</w:t>
      </w:r>
    </w:p>
    <w:p w14:paraId="59D1CFFC" w14:textId="77777777" w:rsidR="00693BAB" w:rsidRPr="00D17841" w:rsidRDefault="00693BAB" w:rsidP="00BC2105">
      <w:pPr>
        <w:spacing w:after="0" w:line="240" w:lineRule="auto"/>
        <w:ind w:left="709"/>
        <w:rPr>
          <w:rFonts w:cs="Arial"/>
          <w:szCs w:val="22"/>
        </w:rPr>
      </w:pPr>
      <w:r w:rsidRPr="00D17841">
        <w:rPr>
          <w:rFonts w:cs="Arial"/>
          <w:szCs w:val="22"/>
        </w:rPr>
        <w:t>-</w:t>
      </w:r>
      <w:r w:rsidRPr="00D17841">
        <w:rPr>
          <w:rFonts w:cs="Arial"/>
          <w:szCs w:val="22"/>
        </w:rPr>
        <w:tab/>
        <w:t>Griechenland</w:t>
      </w:r>
      <w:r w:rsidRPr="00D17841">
        <w:rPr>
          <w:rFonts w:cs="Arial"/>
          <w:szCs w:val="22"/>
        </w:rPr>
        <w:tab/>
      </w:r>
    </w:p>
    <w:p w14:paraId="6124ECB5"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r>
      <w:r w:rsidR="004D0BAD" w:rsidRPr="00D17841">
        <w:rPr>
          <w:rFonts w:cs="Arial"/>
          <w:szCs w:val="22"/>
        </w:rPr>
        <w:t xml:space="preserve">Republik </w:t>
      </w:r>
      <w:r w:rsidRPr="00D17841">
        <w:rPr>
          <w:rFonts w:cs="Arial"/>
          <w:szCs w:val="22"/>
        </w:rPr>
        <w:t>Irland</w:t>
      </w:r>
    </w:p>
    <w:p w14:paraId="6099C6C0"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Italien</w:t>
      </w:r>
    </w:p>
    <w:p w14:paraId="066A9C47" w14:textId="77777777" w:rsidR="005219EF" w:rsidRPr="00D17841" w:rsidRDefault="00693BAB">
      <w:pPr>
        <w:spacing w:after="0" w:line="240" w:lineRule="auto"/>
        <w:ind w:left="709"/>
        <w:rPr>
          <w:rFonts w:cs="Arial"/>
          <w:szCs w:val="22"/>
        </w:rPr>
      </w:pPr>
      <w:r w:rsidRPr="00D17841">
        <w:rPr>
          <w:rFonts w:cs="Arial"/>
          <w:szCs w:val="22"/>
        </w:rPr>
        <w:t>-</w:t>
      </w:r>
      <w:r w:rsidRPr="00D17841">
        <w:rPr>
          <w:rFonts w:cs="Arial"/>
          <w:szCs w:val="22"/>
        </w:rPr>
        <w:tab/>
      </w:r>
      <w:r w:rsidR="005219EF" w:rsidRPr="00D17841">
        <w:rPr>
          <w:rFonts w:cs="Arial"/>
          <w:szCs w:val="22"/>
        </w:rPr>
        <w:t>Kroatien</w:t>
      </w:r>
    </w:p>
    <w:p w14:paraId="42FA122E" w14:textId="77777777" w:rsidR="00693BAB" w:rsidRPr="00D17841" w:rsidRDefault="005219EF">
      <w:pPr>
        <w:spacing w:after="0" w:line="240" w:lineRule="auto"/>
        <w:ind w:left="709"/>
        <w:rPr>
          <w:rFonts w:cs="Arial"/>
          <w:szCs w:val="22"/>
        </w:rPr>
      </w:pPr>
      <w:r w:rsidRPr="00D17841">
        <w:rPr>
          <w:rFonts w:cs="Arial"/>
          <w:szCs w:val="22"/>
        </w:rPr>
        <w:t>-</w:t>
      </w:r>
      <w:r w:rsidRPr="00D17841">
        <w:rPr>
          <w:rFonts w:cs="Arial"/>
          <w:szCs w:val="22"/>
        </w:rPr>
        <w:tab/>
      </w:r>
      <w:r w:rsidR="00693BAB" w:rsidRPr="00D17841">
        <w:rPr>
          <w:rFonts w:cs="Arial"/>
          <w:szCs w:val="22"/>
        </w:rPr>
        <w:t>Lettland</w:t>
      </w:r>
    </w:p>
    <w:p w14:paraId="0E984601"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Litauen</w:t>
      </w:r>
    </w:p>
    <w:p w14:paraId="02C25F4C"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Malta</w:t>
      </w:r>
    </w:p>
    <w:p w14:paraId="75CE8C4C"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Polen</w:t>
      </w:r>
    </w:p>
    <w:p w14:paraId="0FE92777" w14:textId="77777777" w:rsidR="00693BAB" w:rsidRPr="00D17841" w:rsidRDefault="00693BAB">
      <w:pPr>
        <w:spacing w:after="0" w:line="240" w:lineRule="auto"/>
        <w:ind w:left="709"/>
        <w:rPr>
          <w:rFonts w:cs="Arial"/>
          <w:szCs w:val="22"/>
        </w:rPr>
      </w:pPr>
      <w:r w:rsidRPr="00D17841">
        <w:rPr>
          <w:rFonts w:cs="Arial"/>
          <w:szCs w:val="22"/>
        </w:rPr>
        <w:lastRenderedPageBreak/>
        <w:t>-</w:t>
      </w:r>
      <w:r w:rsidRPr="00D17841">
        <w:rPr>
          <w:rFonts w:cs="Arial"/>
          <w:szCs w:val="22"/>
        </w:rPr>
        <w:tab/>
        <w:t>Luxemburg</w:t>
      </w:r>
    </w:p>
    <w:p w14:paraId="7E9BC157"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Niederlande</w:t>
      </w:r>
    </w:p>
    <w:p w14:paraId="385520E4"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Österreich</w:t>
      </w:r>
    </w:p>
    <w:p w14:paraId="34DB8F17"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Portugal</w:t>
      </w:r>
    </w:p>
    <w:p w14:paraId="660D2B09"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Schweden</w:t>
      </w:r>
    </w:p>
    <w:p w14:paraId="2238F5A0"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Slowakei</w:t>
      </w:r>
    </w:p>
    <w:p w14:paraId="7E33D08A"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Slowenien</w:t>
      </w:r>
    </w:p>
    <w:p w14:paraId="24D44109"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Spanien</w:t>
      </w:r>
    </w:p>
    <w:p w14:paraId="7DCFB654" w14:textId="77777777" w:rsidR="00693BAB" w:rsidRPr="00D17841" w:rsidRDefault="00693BAB">
      <w:pPr>
        <w:tabs>
          <w:tab w:val="left" w:pos="1418"/>
        </w:tabs>
        <w:spacing w:after="0" w:line="240" w:lineRule="auto"/>
        <w:ind w:left="709"/>
        <w:rPr>
          <w:rFonts w:cs="Arial"/>
          <w:szCs w:val="22"/>
        </w:rPr>
      </w:pPr>
      <w:r w:rsidRPr="00D17841">
        <w:rPr>
          <w:rFonts w:cs="Arial"/>
          <w:szCs w:val="22"/>
        </w:rPr>
        <w:t>-</w:t>
      </w:r>
      <w:r w:rsidRPr="00D17841">
        <w:rPr>
          <w:rFonts w:cs="Arial"/>
          <w:szCs w:val="22"/>
        </w:rPr>
        <w:tab/>
      </w:r>
      <w:r w:rsidR="00790F5F" w:rsidRPr="00D17841">
        <w:rPr>
          <w:rFonts w:cs="Arial"/>
          <w:szCs w:val="22"/>
        </w:rPr>
        <w:t>Tschechische Republik</w:t>
      </w:r>
    </w:p>
    <w:p w14:paraId="2492C055"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t>Ungarn</w:t>
      </w:r>
    </w:p>
    <w:p w14:paraId="2CE9549F" w14:textId="77777777" w:rsidR="00693BAB" w:rsidRPr="00D17841" w:rsidRDefault="00693BAB">
      <w:pPr>
        <w:spacing w:after="0" w:line="240" w:lineRule="auto"/>
        <w:ind w:left="709"/>
        <w:rPr>
          <w:rFonts w:cs="Arial"/>
          <w:szCs w:val="22"/>
        </w:rPr>
      </w:pPr>
      <w:r w:rsidRPr="00D17841">
        <w:rPr>
          <w:rFonts w:cs="Arial"/>
          <w:szCs w:val="22"/>
        </w:rPr>
        <w:t>-</w:t>
      </w:r>
      <w:r w:rsidRPr="00D17841">
        <w:rPr>
          <w:rFonts w:cs="Arial"/>
          <w:szCs w:val="22"/>
        </w:rPr>
        <w:tab/>
      </w:r>
      <w:r w:rsidR="00790F5F" w:rsidRPr="00D17841">
        <w:rPr>
          <w:rFonts w:cs="Arial"/>
          <w:szCs w:val="22"/>
        </w:rPr>
        <w:t>Republik Zypern</w:t>
      </w:r>
    </w:p>
    <w:p w14:paraId="0E602624" w14:textId="77777777" w:rsidR="00693BAB" w:rsidRPr="00D17841" w:rsidRDefault="007E0A1C">
      <w:pPr>
        <w:spacing w:after="0" w:line="240" w:lineRule="auto"/>
        <w:ind w:left="709"/>
        <w:rPr>
          <w:rFonts w:cs="Arial"/>
          <w:szCs w:val="22"/>
        </w:rPr>
      </w:pPr>
      <w:r w:rsidRPr="00D17841">
        <w:rPr>
          <w:rFonts w:cs="Arial"/>
          <w:szCs w:val="22"/>
        </w:rPr>
        <w:t>-</w:t>
      </w:r>
      <w:r w:rsidR="00DE7CBA" w:rsidRPr="00D17841">
        <w:rPr>
          <w:rFonts w:cs="Arial"/>
          <w:szCs w:val="22"/>
        </w:rPr>
        <w:tab/>
      </w:r>
      <w:r w:rsidRPr="00D17841">
        <w:rPr>
          <w:rFonts w:cs="Arial"/>
          <w:szCs w:val="22"/>
        </w:rPr>
        <w:t>Rumänien</w:t>
      </w:r>
    </w:p>
    <w:p w14:paraId="19A3E668" w14:textId="77777777" w:rsidR="007E0A1C" w:rsidRPr="00D17841" w:rsidRDefault="007E0A1C">
      <w:pPr>
        <w:spacing w:after="0" w:line="240" w:lineRule="auto"/>
        <w:ind w:left="709"/>
        <w:rPr>
          <w:rFonts w:cs="Arial"/>
          <w:szCs w:val="22"/>
        </w:rPr>
      </w:pPr>
    </w:p>
    <w:p w14:paraId="3FCAE784" w14:textId="77777777" w:rsidR="007E0A1C" w:rsidRPr="00D17841" w:rsidRDefault="007E0A1C">
      <w:pPr>
        <w:spacing w:after="0" w:line="240" w:lineRule="auto"/>
        <w:ind w:left="709"/>
        <w:rPr>
          <w:rFonts w:cs="Arial"/>
          <w:szCs w:val="22"/>
        </w:rPr>
      </w:pPr>
    </w:p>
    <w:p w14:paraId="66209495" w14:textId="77777777" w:rsidR="00693BAB" w:rsidRPr="00D17841" w:rsidRDefault="00693BAB">
      <w:pPr>
        <w:pStyle w:val="Textkrper-Einzug2"/>
        <w:spacing w:after="240"/>
        <w:ind w:left="709" w:hanging="709"/>
        <w:rPr>
          <w:rFonts w:cs="Arial"/>
          <w:sz w:val="22"/>
          <w:szCs w:val="22"/>
        </w:rPr>
      </w:pPr>
      <w:r w:rsidRPr="00D17841">
        <w:rPr>
          <w:rFonts w:cs="Arial"/>
          <w:sz w:val="22"/>
          <w:szCs w:val="22"/>
        </w:rPr>
        <w:t>-</w:t>
      </w:r>
      <w:r w:rsidRPr="00D17841">
        <w:rPr>
          <w:rFonts w:cs="Arial"/>
          <w:sz w:val="22"/>
          <w:szCs w:val="22"/>
        </w:rPr>
        <w:tab/>
      </w:r>
      <w:r w:rsidR="00235DDA" w:rsidRPr="00D17841">
        <w:rPr>
          <w:rFonts w:cs="Arial"/>
          <w:sz w:val="22"/>
          <w:szCs w:val="22"/>
        </w:rPr>
        <w:t xml:space="preserve">Als </w:t>
      </w:r>
      <w:r w:rsidRPr="00D17841">
        <w:rPr>
          <w:rFonts w:cs="Arial"/>
          <w:sz w:val="22"/>
          <w:szCs w:val="22"/>
        </w:rPr>
        <w:t>Vertragsstaaten des Abkommens über den Europäischen Wirtschaftsraum:</w:t>
      </w:r>
    </w:p>
    <w:p w14:paraId="0AF10BF9" w14:textId="77777777" w:rsidR="00693BAB" w:rsidRPr="00D17841" w:rsidRDefault="00693BAB" w:rsidP="00AC1962">
      <w:pPr>
        <w:spacing w:after="0" w:line="240" w:lineRule="auto"/>
        <w:ind w:left="1418" w:hanging="709"/>
        <w:rPr>
          <w:rFonts w:cs="Arial"/>
          <w:szCs w:val="22"/>
        </w:rPr>
      </w:pPr>
      <w:r w:rsidRPr="00D17841">
        <w:rPr>
          <w:rFonts w:cs="Arial"/>
          <w:szCs w:val="22"/>
        </w:rPr>
        <w:t>-</w:t>
      </w:r>
      <w:r w:rsidRPr="00D17841">
        <w:rPr>
          <w:rFonts w:cs="Arial"/>
          <w:szCs w:val="22"/>
        </w:rPr>
        <w:tab/>
        <w:t>Island</w:t>
      </w:r>
    </w:p>
    <w:p w14:paraId="5C64FBE3"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Liechtenstein</w:t>
      </w:r>
    </w:p>
    <w:p w14:paraId="292028A8" w14:textId="77777777" w:rsidR="00693BAB" w:rsidRPr="00D17841" w:rsidRDefault="00693BAB">
      <w:pPr>
        <w:numPr>
          <w:ilvl w:val="0"/>
          <w:numId w:val="36"/>
        </w:numPr>
        <w:spacing w:after="0" w:line="240" w:lineRule="auto"/>
        <w:rPr>
          <w:rFonts w:cs="Arial"/>
          <w:szCs w:val="22"/>
        </w:rPr>
      </w:pPr>
      <w:r w:rsidRPr="00D17841">
        <w:rPr>
          <w:rFonts w:cs="Arial"/>
          <w:szCs w:val="22"/>
        </w:rPr>
        <w:t>Norwegen</w:t>
      </w:r>
    </w:p>
    <w:p w14:paraId="51C46BCE" w14:textId="77777777" w:rsidR="00693BAB" w:rsidRPr="00D17841" w:rsidRDefault="00693BAB">
      <w:pPr>
        <w:pStyle w:val="BAKred-Standard"/>
        <w:spacing w:after="0" w:line="240" w:lineRule="auto"/>
        <w:rPr>
          <w:rFonts w:cs="Arial"/>
          <w:szCs w:val="22"/>
        </w:rPr>
      </w:pPr>
    </w:p>
    <w:p w14:paraId="77688F34" w14:textId="77777777" w:rsidR="00693BAB" w:rsidRPr="00D17841" w:rsidRDefault="00693BAB">
      <w:pPr>
        <w:spacing w:after="240" w:line="240" w:lineRule="auto"/>
        <w:ind w:left="709" w:hanging="709"/>
        <w:rPr>
          <w:rFonts w:cs="Arial"/>
          <w:b/>
          <w:szCs w:val="22"/>
        </w:rPr>
      </w:pPr>
      <w:r w:rsidRPr="00D17841">
        <w:rPr>
          <w:rFonts w:cs="Arial"/>
          <w:b/>
          <w:szCs w:val="22"/>
        </w:rPr>
        <w:t>-</w:t>
      </w:r>
      <w:r w:rsidRPr="00D17841">
        <w:rPr>
          <w:rFonts w:cs="Arial"/>
          <w:szCs w:val="22"/>
        </w:rPr>
        <w:tab/>
      </w:r>
      <w:r w:rsidR="00235DDA" w:rsidRPr="00D17841">
        <w:rPr>
          <w:rFonts w:cs="Arial"/>
          <w:b/>
          <w:szCs w:val="22"/>
        </w:rPr>
        <w:t xml:space="preserve">Als </w:t>
      </w:r>
      <w:r w:rsidRPr="00D17841">
        <w:rPr>
          <w:rFonts w:cs="Arial"/>
          <w:b/>
          <w:szCs w:val="22"/>
        </w:rPr>
        <w:t>Mitgliedstaaten der Organisation für wirtschaftliche Zusammenarbeit und Entwicklung, die nicht Mitglied des EWR sind:</w:t>
      </w:r>
    </w:p>
    <w:p w14:paraId="014AC823" w14:textId="77777777" w:rsidR="00693BAB" w:rsidRPr="00D17841" w:rsidRDefault="00693BAB" w:rsidP="00AC1962">
      <w:pPr>
        <w:spacing w:after="0" w:line="240" w:lineRule="auto"/>
        <w:ind w:left="1418" w:hanging="709"/>
        <w:rPr>
          <w:rFonts w:cs="Arial"/>
          <w:szCs w:val="22"/>
        </w:rPr>
      </w:pPr>
      <w:r w:rsidRPr="00D17841">
        <w:rPr>
          <w:rFonts w:cs="Arial"/>
          <w:szCs w:val="22"/>
        </w:rPr>
        <w:t>-</w:t>
      </w:r>
      <w:r w:rsidRPr="00D17841">
        <w:rPr>
          <w:rFonts w:cs="Arial"/>
          <w:szCs w:val="22"/>
        </w:rPr>
        <w:tab/>
        <w:t>Australien</w:t>
      </w:r>
    </w:p>
    <w:p w14:paraId="2CEC9F23" w14:textId="77777777" w:rsidR="0086289E" w:rsidRPr="00D17841" w:rsidRDefault="0086289E" w:rsidP="0086289E">
      <w:pPr>
        <w:spacing w:after="0" w:line="240" w:lineRule="auto"/>
        <w:ind w:left="1418" w:hanging="709"/>
        <w:rPr>
          <w:rFonts w:cs="Arial"/>
          <w:szCs w:val="22"/>
        </w:rPr>
      </w:pPr>
      <w:r w:rsidRPr="00D17841">
        <w:rPr>
          <w:rFonts w:cs="Arial"/>
          <w:szCs w:val="22"/>
        </w:rPr>
        <w:t>-</w:t>
      </w:r>
      <w:r w:rsidRPr="00D17841">
        <w:rPr>
          <w:rFonts w:cs="Arial"/>
          <w:szCs w:val="22"/>
        </w:rPr>
        <w:tab/>
        <w:t>Chile</w:t>
      </w:r>
    </w:p>
    <w:p w14:paraId="0CA1D2F1" w14:textId="77777777" w:rsidR="0086289E" w:rsidRPr="00D17841" w:rsidRDefault="0086289E" w:rsidP="0086289E">
      <w:pPr>
        <w:spacing w:after="0" w:line="240" w:lineRule="auto"/>
        <w:ind w:left="1418" w:hanging="709"/>
        <w:rPr>
          <w:rFonts w:cs="Arial"/>
          <w:szCs w:val="22"/>
        </w:rPr>
      </w:pPr>
      <w:r w:rsidRPr="00D17841">
        <w:rPr>
          <w:rFonts w:cs="Arial"/>
          <w:szCs w:val="22"/>
        </w:rPr>
        <w:t>-</w:t>
      </w:r>
      <w:r w:rsidRPr="00D17841">
        <w:rPr>
          <w:rFonts w:cs="Arial"/>
          <w:szCs w:val="22"/>
        </w:rPr>
        <w:tab/>
        <w:t>Costa Rica</w:t>
      </w:r>
    </w:p>
    <w:p w14:paraId="372622A2" w14:textId="77777777" w:rsidR="0086289E" w:rsidRPr="00D17841" w:rsidRDefault="0086289E" w:rsidP="0086289E">
      <w:pPr>
        <w:spacing w:after="0" w:line="240" w:lineRule="auto"/>
        <w:ind w:left="1418" w:hanging="709"/>
        <w:rPr>
          <w:rFonts w:cs="Arial"/>
          <w:szCs w:val="22"/>
        </w:rPr>
      </w:pPr>
      <w:r w:rsidRPr="00D17841">
        <w:rPr>
          <w:rFonts w:cs="Arial"/>
          <w:szCs w:val="22"/>
        </w:rPr>
        <w:t>-</w:t>
      </w:r>
      <w:r w:rsidRPr="00D17841">
        <w:rPr>
          <w:rFonts w:cs="Arial"/>
          <w:szCs w:val="22"/>
        </w:rPr>
        <w:tab/>
        <w:t>Israel</w:t>
      </w:r>
    </w:p>
    <w:p w14:paraId="4D0B7016"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Japan</w:t>
      </w:r>
    </w:p>
    <w:p w14:paraId="4AD7EC3C"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Kanada</w:t>
      </w:r>
    </w:p>
    <w:p w14:paraId="588E9762" w14:textId="77777777" w:rsidR="0086289E" w:rsidRPr="00D17841" w:rsidRDefault="0086289E" w:rsidP="0086289E">
      <w:pPr>
        <w:spacing w:after="0" w:line="240" w:lineRule="auto"/>
        <w:ind w:left="1418" w:hanging="709"/>
        <w:rPr>
          <w:rFonts w:cs="Arial"/>
          <w:szCs w:val="22"/>
        </w:rPr>
      </w:pPr>
      <w:r w:rsidRPr="00D17841">
        <w:rPr>
          <w:rFonts w:cs="Arial"/>
          <w:szCs w:val="22"/>
        </w:rPr>
        <w:t>-</w:t>
      </w:r>
      <w:r w:rsidRPr="00D17841">
        <w:rPr>
          <w:rFonts w:cs="Arial"/>
          <w:szCs w:val="22"/>
        </w:rPr>
        <w:tab/>
        <w:t>Kolumbien</w:t>
      </w:r>
    </w:p>
    <w:p w14:paraId="71525F6B"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Mexiko</w:t>
      </w:r>
    </w:p>
    <w:p w14:paraId="00237D64"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Neuseeland</w:t>
      </w:r>
    </w:p>
    <w:p w14:paraId="6C8E1FFF"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Schweiz</w:t>
      </w:r>
    </w:p>
    <w:p w14:paraId="236E5C19" w14:textId="77777777" w:rsidR="0086289E" w:rsidRPr="00D17841" w:rsidRDefault="0086289E" w:rsidP="0086289E">
      <w:pPr>
        <w:spacing w:after="0" w:line="240" w:lineRule="auto"/>
        <w:ind w:left="1418" w:hanging="709"/>
        <w:rPr>
          <w:rFonts w:cs="Arial"/>
          <w:szCs w:val="22"/>
        </w:rPr>
      </w:pPr>
      <w:r w:rsidRPr="00D17841">
        <w:rPr>
          <w:rFonts w:cs="Arial"/>
          <w:szCs w:val="22"/>
        </w:rPr>
        <w:t>-</w:t>
      </w:r>
      <w:r w:rsidRPr="00D17841">
        <w:rPr>
          <w:rFonts w:cs="Arial"/>
          <w:szCs w:val="22"/>
        </w:rPr>
        <w:tab/>
        <w:t>Südkorea</w:t>
      </w:r>
    </w:p>
    <w:p w14:paraId="5BCFE081"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Türkei</w:t>
      </w:r>
    </w:p>
    <w:p w14:paraId="50E4A242" w14:textId="77777777" w:rsidR="00693BAB" w:rsidRPr="00D17841" w:rsidRDefault="00693BAB">
      <w:pPr>
        <w:spacing w:after="0" w:line="240" w:lineRule="auto"/>
        <w:ind w:left="1418" w:hanging="709"/>
        <w:rPr>
          <w:rFonts w:cs="Arial"/>
          <w:szCs w:val="22"/>
        </w:rPr>
      </w:pPr>
      <w:r w:rsidRPr="00D17841">
        <w:rPr>
          <w:rFonts w:cs="Arial"/>
          <w:szCs w:val="22"/>
        </w:rPr>
        <w:t>-</w:t>
      </w:r>
      <w:r w:rsidRPr="00D17841">
        <w:rPr>
          <w:rFonts w:cs="Arial"/>
          <w:szCs w:val="22"/>
        </w:rPr>
        <w:tab/>
        <w:t>Vereinigte Staaten von Amerika</w:t>
      </w:r>
    </w:p>
    <w:p w14:paraId="6E319F4E" w14:textId="77777777" w:rsidR="004D0BAD" w:rsidRPr="00D17841" w:rsidRDefault="004D0BAD" w:rsidP="004D0BAD">
      <w:pPr>
        <w:spacing w:after="0" w:line="240" w:lineRule="auto"/>
        <w:ind w:left="1418" w:hanging="709"/>
        <w:rPr>
          <w:rFonts w:cs="Arial"/>
          <w:szCs w:val="22"/>
        </w:rPr>
      </w:pPr>
      <w:r w:rsidRPr="00D17841">
        <w:rPr>
          <w:rFonts w:cs="Arial"/>
          <w:szCs w:val="22"/>
        </w:rPr>
        <w:t>-</w:t>
      </w:r>
      <w:r w:rsidRPr="00D17841">
        <w:rPr>
          <w:rFonts w:cs="Arial"/>
          <w:szCs w:val="22"/>
        </w:rPr>
        <w:tab/>
        <w:t xml:space="preserve">Vereinigtes Königreich Großbritannien und Nordirland </w:t>
      </w:r>
    </w:p>
    <w:p w14:paraId="00B971AB" w14:textId="77777777" w:rsidR="00B83BF0" w:rsidRPr="00D17841" w:rsidRDefault="00B83BF0">
      <w:pPr>
        <w:spacing w:after="0" w:line="240" w:lineRule="auto"/>
        <w:ind w:left="1418" w:hanging="709"/>
        <w:rPr>
          <w:rFonts w:cs="Arial"/>
          <w:szCs w:val="22"/>
        </w:rPr>
      </w:pPr>
    </w:p>
    <w:p w14:paraId="654A6A30" w14:textId="77777777" w:rsidR="00DE7CBA" w:rsidRPr="00D17841" w:rsidRDefault="00DE7CBA">
      <w:pPr>
        <w:spacing w:after="0" w:line="240" w:lineRule="auto"/>
        <w:ind w:left="1418" w:hanging="709"/>
        <w:rPr>
          <w:rFonts w:cs="Arial"/>
          <w:szCs w:val="22"/>
        </w:rPr>
      </w:pPr>
    </w:p>
    <w:p w14:paraId="72D88EB3" w14:textId="77777777" w:rsidR="00B83BF0" w:rsidRPr="00D17841" w:rsidRDefault="00D91191" w:rsidP="00D91191">
      <w:pPr>
        <w:spacing w:after="0" w:line="240" w:lineRule="auto"/>
        <w:rPr>
          <w:rFonts w:cs="Arial"/>
          <w:b/>
          <w:szCs w:val="22"/>
        </w:rPr>
      </w:pPr>
      <w:r w:rsidRPr="00D17841">
        <w:rPr>
          <w:rFonts w:cs="Arial"/>
          <w:szCs w:val="22"/>
        </w:rPr>
        <w:t>-</w:t>
      </w:r>
      <w:r w:rsidRPr="00D17841">
        <w:rPr>
          <w:rFonts w:cs="Arial"/>
          <w:szCs w:val="22"/>
        </w:rPr>
        <w:tab/>
      </w:r>
      <w:r w:rsidR="006625DB" w:rsidRPr="00D17841">
        <w:rPr>
          <w:rFonts w:cs="Arial"/>
          <w:b/>
          <w:szCs w:val="22"/>
        </w:rPr>
        <w:t xml:space="preserve">Als </w:t>
      </w:r>
      <w:r w:rsidR="002F7836" w:rsidRPr="00D17841">
        <w:rPr>
          <w:rFonts w:cs="Arial"/>
          <w:b/>
          <w:szCs w:val="22"/>
        </w:rPr>
        <w:t xml:space="preserve">andere </w:t>
      </w:r>
      <w:r w:rsidR="006625DB" w:rsidRPr="00D17841">
        <w:rPr>
          <w:rFonts w:cs="Arial"/>
          <w:b/>
          <w:szCs w:val="22"/>
        </w:rPr>
        <w:t>Drittstaaten:</w:t>
      </w:r>
    </w:p>
    <w:p w14:paraId="78E75778" w14:textId="77777777" w:rsidR="00D91191" w:rsidRPr="00D17841" w:rsidRDefault="00D91191" w:rsidP="00D91191">
      <w:pPr>
        <w:spacing w:after="0" w:line="240" w:lineRule="auto"/>
        <w:rPr>
          <w:rFonts w:cs="Arial"/>
          <w:b/>
          <w:szCs w:val="22"/>
        </w:rPr>
      </w:pPr>
    </w:p>
    <w:p w14:paraId="5E138CE7" w14:textId="77777777" w:rsidR="00D91191" w:rsidRPr="00D17841" w:rsidRDefault="00D91191" w:rsidP="00D91191">
      <w:pPr>
        <w:spacing w:after="0" w:line="240" w:lineRule="auto"/>
        <w:ind w:left="705" w:hanging="705"/>
        <w:rPr>
          <w:rFonts w:cs="Arial"/>
          <w:b/>
          <w:szCs w:val="22"/>
        </w:rPr>
      </w:pPr>
      <w:r w:rsidRPr="00D17841">
        <w:rPr>
          <w:rFonts w:cs="Arial"/>
          <w:b/>
          <w:szCs w:val="22"/>
        </w:rPr>
        <w:t>-</w:t>
      </w:r>
      <w:r w:rsidRPr="00D17841">
        <w:rPr>
          <w:rFonts w:cs="Arial"/>
          <w:b/>
          <w:szCs w:val="22"/>
        </w:rPr>
        <w:tab/>
      </w:r>
      <w:r w:rsidR="006625DB" w:rsidRPr="00D17841">
        <w:rPr>
          <w:rFonts w:cs="Arial"/>
          <w:b/>
          <w:szCs w:val="22"/>
        </w:rPr>
        <w:t>Als internationale Organisationen, der mindestens ein Mitgliedstaat der EU angehört:</w:t>
      </w:r>
    </w:p>
    <w:p w14:paraId="2F1172EE" w14:textId="77777777" w:rsidR="00235DDA" w:rsidRPr="00D17841" w:rsidRDefault="00235DDA" w:rsidP="00D91191">
      <w:pPr>
        <w:spacing w:after="0" w:line="240" w:lineRule="auto"/>
        <w:ind w:left="705" w:hanging="705"/>
        <w:rPr>
          <w:rFonts w:cs="Arial"/>
          <w:b/>
          <w:szCs w:val="22"/>
        </w:rPr>
      </w:pPr>
    </w:p>
    <w:p w14:paraId="4B72D559" w14:textId="77777777" w:rsidR="00235DDA" w:rsidRPr="00D17841" w:rsidRDefault="00235DDA" w:rsidP="00D91191">
      <w:pPr>
        <w:spacing w:after="0" w:line="240" w:lineRule="auto"/>
        <w:ind w:left="705" w:hanging="705"/>
        <w:rPr>
          <w:rFonts w:cs="Arial"/>
          <w:szCs w:val="22"/>
        </w:rPr>
      </w:pPr>
      <w:r w:rsidRPr="00D17841">
        <w:rPr>
          <w:rFonts w:cs="Arial"/>
          <w:szCs w:val="22"/>
        </w:rPr>
        <w:t>-</w:t>
      </w:r>
      <w:r w:rsidRPr="00D17841">
        <w:rPr>
          <w:rFonts w:cs="Arial"/>
          <w:szCs w:val="22"/>
        </w:rPr>
        <w:tab/>
        <w:t>EUROATOM</w:t>
      </w:r>
    </w:p>
    <w:p w14:paraId="0F6F9CB7" w14:textId="77777777" w:rsidR="00DE7CBA" w:rsidRPr="00D17841" w:rsidRDefault="00235DDA" w:rsidP="00D91191">
      <w:pPr>
        <w:spacing w:after="0" w:line="240" w:lineRule="auto"/>
        <w:ind w:left="705" w:hanging="705"/>
        <w:rPr>
          <w:rFonts w:cs="Arial"/>
          <w:szCs w:val="22"/>
        </w:rPr>
      </w:pPr>
      <w:r w:rsidRPr="00D17841">
        <w:rPr>
          <w:rFonts w:cs="Arial"/>
          <w:szCs w:val="22"/>
        </w:rPr>
        <w:t>-</w:t>
      </w:r>
      <w:r w:rsidRPr="00D17841">
        <w:rPr>
          <w:rFonts w:cs="Arial"/>
          <w:szCs w:val="22"/>
        </w:rPr>
        <w:tab/>
        <w:t>{…}</w:t>
      </w:r>
    </w:p>
    <w:sectPr w:rsidR="00DE7CBA" w:rsidRPr="00D17841" w:rsidSect="00B87595">
      <w:headerReference w:type="even" r:id="rId14"/>
      <w:headerReference w:type="default" r:id="rId15"/>
      <w:footerReference w:type="even" r:id="rId16"/>
      <w:footerReference w:type="default" r:id="rId17"/>
      <w:headerReference w:type="first" r:id="rId18"/>
      <w:footerReference w:type="first" r:id="rId19"/>
      <w:pgSz w:w="11907" w:h="16840" w:code="9"/>
      <w:pgMar w:top="1418" w:right="2552" w:bottom="1985" w:left="1418" w:header="720" w:footer="720"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E6F6" w14:textId="77777777" w:rsidR="00E84305" w:rsidRDefault="00E84305">
      <w:r>
        <w:separator/>
      </w:r>
    </w:p>
  </w:endnote>
  <w:endnote w:type="continuationSeparator" w:id="0">
    <w:p w14:paraId="623FBB09" w14:textId="77777777" w:rsidR="00E84305" w:rsidRDefault="00E84305">
      <w:r>
        <w:continuationSeparator/>
      </w:r>
    </w:p>
  </w:endnote>
  <w:endnote w:type="continuationNotice" w:id="1">
    <w:p w14:paraId="460BC27C" w14:textId="77777777" w:rsidR="00E84305" w:rsidRDefault="00E84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A7A9" w14:textId="77777777" w:rsidR="00434D47" w:rsidRDefault="00434D47" w:rsidP="00AF284E">
    <w:pPr>
      <w:pStyle w:val="Fuzeile"/>
      <w:spacing w:after="0"/>
      <w:jc w:val="center"/>
    </w:pPr>
    <w:r>
      <w:rPr>
        <w:rStyle w:val="Seitenzahl"/>
      </w:rPr>
      <w:fldChar w:fldCharType="begin"/>
    </w:r>
    <w:r>
      <w:rPr>
        <w:rStyle w:val="Seitenzahl"/>
      </w:rPr>
      <w:instrText xml:space="preserve"> PAGE </w:instrText>
    </w:r>
    <w:r>
      <w:rPr>
        <w:rStyle w:val="Seitenzahl"/>
      </w:rPr>
      <w:fldChar w:fldCharType="separate"/>
    </w:r>
    <w:r w:rsidR="0087405F">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4872" w14:textId="77777777" w:rsidR="00434D47" w:rsidRDefault="00434D47" w:rsidP="00360EE0">
    <w:pPr>
      <w:pStyle w:val="Fuzeile"/>
      <w:spacing w:after="0"/>
      <w:jc w:val="cente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22</w:t>
    </w:r>
    <w:r>
      <w:rPr>
        <w:rStyle w:val="Seitenzahl"/>
      </w:rPr>
      <w:fldChar w:fldCharType="end"/>
    </w:r>
    <w:bookmarkStart w:id="1" w:name="aliashDocumentMarking1FooterPrimary"/>
  </w:p>
  <w:p w14:paraId="443225DD" w14:textId="77777777" w:rsidR="00434D47" w:rsidRDefault="00434D47" w:rsidP="00360EE0">
    <w:pPr>
      <w:pStyle w:val="Fuzeile"/>
      <w:spacing w:after="0"/>
      <w:jc w:val="center"/>
      <w:rPr>
        <w:rStyle w:val="Seitenzahl"/>
      </w:rPr>
    </w:pPr>
    <w:r w:rsidRPr="00360EE0">
      <w:rPr>
        <w:rStyle w:val="Seitenzahl"/>
        <w:color w:val="000000"/>
        <w:sz w:val="17"/>
      </w:rPr>
      <w:t> </w:t>
    </w:r>
  </w:p>
  <w:bookmarkEnd w:id="1"/>
  <w:p w14:paraId="52E37111" w14:textId="77777777" w:rsidR="00434D47" w:rsidRDefault="00434D47">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0ECF" w14:textId="77777777" w:rsidR="00434D47" w:rsidRDefault="00434D47" w:rsidP="00360EE0">
    <w:pPr>
      <w:pStyle w:val="Fuzeile"/>
      <w:spacing w:after="0"/>
      <w:jc w:val="center"/>
    </w:pPr>
    <w:bookmarkStart w:id="2" w:name="aliashDocumentMarking1FooterFirstPage"/>
    <w:r w:rsidRPr="00360EE0">
      <w:rPr>
        <w:color w:val="000000"/>
        <w:sz w:val="17"/>
      </w:rPr>
      <w:t> </w:t>
    </w:r>
  </w:p>
  <w:bookmarkEnd w:id="2"/>
  <w:p w14:paraId="1775E59B" w14:textId="77777777" w:rsidR="00434D47" w:rsidRDefault="00434D4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1499" w14:textId="77777777" w:rsidR="00434D47" w:rsidRDefault="00434D47" w:rsidP="00AF284E">
    <w:pPr>
      <w:pStyle w:val="Fuzeile"/>
      <w:spacing w:after="0"/>
      <w:jc w:val="center"/>
    </w:pPr>
    <w:r w:rsidRPr="00AF284E">
      <w:fldChar w:fldCharType="begin"/>
    </w:r>
    <w:r w:rsidRPr="00AF284E">
      <w:instrText xml:space="preserve"> PAGE </w:instrText>
    </w:r>
    <w:r w:rsidRPr="00AF284E">
      <w:fldChar w:fldCharType="separate"/>
    </w:r>
    <w:r w:rsidR="009A324A">
      <w:rPr>
        <w:noProof/>
      </w:rPr>
      <w:t>22</w:t>
    </w:r>
    <w:r w:rsidRPr="00AF284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3BE9" w14:textId="77777777" w:rsidR="00434D47" w:rsidRDefault="00434D47" w:rsidP="00AF284E">
    <w:pPr>
      <w:pStyle w:val="Fuzeile"/>
      <w:spacing w:after="0"/>
      <w:jc w:val="center"/>
    </w:pPr>
    <w:r w:rsidRPr="00AF284E">
      <w:fldChar w:fldCharType="begin"/>
    </w:r>
    <w:r w:rsidRPr="00AF284E">
      <w:instrText xml:space="preserve"> PAGE </w:instrText>
    </w:r>
    <w:r w:rsidRPr="00AF284E">
      <w:fldChar w:fldCharType="separate"/>
    </w:r>
    <w:r w:rsidR="009A324A">
      <w:rPr>
        <w:noProof/>
      </w:rPr>
      <w:t>23</w:t>
    </w:r>
    <w:r w:rsidRPr="00AF284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3D75" w14:textId="77777777" w:rsidR="00434D47" w:rsidRDefault="00434D47" w:rsidP="00AF284E">
    <w:pPr>
      <w:pStyle w:val="Fuzeile"/>
      <w:spacing w:after="0"/>
      <w:jc w:val="center"/>
    </w:pPr>
    <w:r>
      <w:rPr>
        <w:rStyle w:val="Seitenzahl"/>
      </w:rPr>
      <w:fldChar w:fldCharType="begin"/>
    </w:r>
    <w:r>
      <w:rPr>
        <w:rStyle w:val="Seitenzahl"/>
      </w:rPr>
      <w:instrText xml:space="preserve"> PAGE </w:instrText>
    </w:r>
    <w:r>
      <w:rPr>
        <w:rStyle w:val="Seitenzahl"/>
      </w:rPr>
      <w:fldChar w:fldCharType="separate"/>
    </w:r>
    <w:r w:rsidR="0087405F">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FC14" w14:textId="77777777" w:rsidR="00E84305" w:rsidRDefault="00E84305">
      <w:r>
        <w:separator/>
      </w:r>
    </w:p>
  </w:footnote>
  <w:footnote w:type="continuationSeparator" w:id="0">
    <w:p w14:paraId="752C3E81" w14:textId="77777777" w:rsidR="00E84305" w:rsidRDefault="00E84305">
      <w:r>
        <w:continuationSeparator/>
      </w:r>
    </w:p>
  </w:footnote>
  <w:footnote w:type="continuationNotice" w:id="1">
    <w:p w14:paraId="299F1E96" w14:textId="77777777" w:rsidR="00E84305" w:rsidRDefault="00E84305">
      <w:pPr>
        <w:spacing w:after="0" w:line="240" w:lineRule="auto"/>
      </w:pPr>
    </w:p>
  </w:footnote>
  <w:footnote w:id="2">
    <w:p w14:paraId="6CA4BEC9" w14:textId="77777777" w:rsidR="00D143D1" w:rsidRDefault="00D143D1">
      <w:pPr>
        <w:pStyle w:val="Funotentext"/>
      </w:pPr>
      <w:r>
        <w:rPr>
          <w:rStyle w:val="Funotenzeichen"/>
        </w:rPr>
        <w:footnoteRef/>
      </w:r>
      <w:r>
        <w:t xml:space="preserve"> Hinweis: </w:t>
      </w:r>
      <w:r w:rsidR="00055731">
        <w:t xml:space="preserve">Sofern die Gesellschaft bei dem Sondervermögen eine </w:t>
      </w:r>
      <w:r w:rsidR="00055731" w:rsidRPr="00055731">
        <w:t>Performance</w:t>
      </w:r>
      <w:r w:rsidR="00055731">
        <w:t>-</w:t>
      </w:r>
      <w:r w:rsidR="00055731" w:rsidRPr="00055731">
        <w:t>Fee</w:t>
      </w:r>
      <w:r w:rsidR="00055731">
        <w:t xml:space="preserve">-Regelung nach Maßgabe </w:t>
      </w:r>
      <w:r w:rsidR="00055731" w:rsidRPr="00055731">
        <w:t>der BaFin-Musterkostenklauseln in</w:t>
      </w:r>
      <w:r w:rsidR="00055731">
        <w:t xml:space="preserve"> den Anlagebedingungen vorgesehen hat, sollte </w:t>
      </w:r>
      <w:r w:rsidR="00055731" w:rsidRPr="00055731">
        <w:t xml:space="preserve">im Falle von Swing Pricing </w:t>
      </w:r>
      <w:r w:rsidR="00055731">
        <w:t xml:space="preserve">klargestellt werden, welche Bezugsgröße für die </w:t>
      </w:r>
      <w:r w:rsidR="00055731" w:rsidRPr="00055731">
        <w:t xml:space="preserve">Anteilwertentwicklung </w:t>
      </w:r>
      <w:r w:rsidR="00055731">
        <w:t xml:space="preserve">herangezogen wird, z.B. dass der </w:t>
      </w:r>
      <w:r w:rsidR="00055731" w:rsidRPr="00055731">
        <w:t>„ungeschwungene“</w:t>
      </w:r>
      <w:r w:rsidR="00055731">
        <w:t xml:space="preserve"> bzw.</w:t>
      </w:r>
      <w:r w:rsidR="00055731" w:rsidRPr="00055731">
        <w:t xml:space="preserve"> nicht-modifizierte</w:t>
      </w:r>
      <w:r w:rsidR="00055731">
        <w:t xml:space="preserve"> Nettoinventarwert </w:t>
      </w:r>
      <w:r w:rsidR="00055731" w:rsidRPr="00055731">
        <w:t>die Grundlage für die Performanceermittlung bildet</w:t>
      </w:r>
      <w:r w:rsidR="00055731">
        <w:t xml:space="preserve">. </w:t>
      </w:r>
    </w:p>
  </w:footnote>
  <w:footnote w:id="3">
    <w:p w14:paraId="073824C7" w14:textId="77777777" w:rsidR="00434D47" w:rsidRDefault="00434D47" w:rsidP="00C33587">
      <w:pPr>
        <w:pStyle w:val="Funotentext"/>
        <w:spacing w:after="0" w:line="288" w:lineRule="auto"/>
      </w:pPr>
      <w:r>
        <w:rPr>
          <w:rStyle w:val="Funotenzeichen"/>
        </w:rPr>
        <w:footnoteRef/>
      </w:r>
      <w:r>
        <w:t xml:space="preserve"> Die </w:t>
      </w:r>
      <w:r w:rsidR="00941775">
        <w:t>„</w:t>
      </w:r>
      <w:r w:rsidRPr="002579D5">
        <w:t xml:space="preserve">Musterbausteine </w:t>
      </w:r>
      <w:r w:rsidR="00941775" w:rsidRPr="00941775">
        <w:t>für Kostenklauseln offener Publikumsinvestmentvermögen (ohne Immobilien-Sondervermögen)</w:t>
      </w:r>
      <w:r w:rsidR="00941775">
        <w:t xml:space="preserve">“ </w:t>
      </w:r>
      <w:r w:rsidRPr="002579D5">
        <w:t xml:space="preserve">können auf der </w:t>
      </w:r>
      <w:r w:rsidR="00184574">
        <w:t>Internetseite</w:t>
      </w:r>
      <w:r w:rsidRPr="002579D5">
        <w:t xml:space="preserve"> der Bundesanstalt abgerufen werden (http://www.bafin.de).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9338" w14:textId="77777777" w:rsidR="00BA27FE" w:rsidRDefault="00AF284E" w:rsidP="00BA27FE">
    <w:pPr>
      <w:pStyle w:val="Kopfzeile"/>
      <w:tabs>
        <w:tab w:val="clear" w:pos="4536"/>
      </w:tabs>
      <w:spacing w:after="0" w:line="240" w:lineRule="auto"/>
      <w:jc w:val="center"/>
      <w:rPr>
        <w:b/>
        <w:szCs w:val="22"/>
      </w:rPr>
    </w:pPr>
    <w:r>
      <w:rPr>
        <w:b/>
        <w:szCs w:val="22"/>
      </w:rPr>
      <w:t xml:space="preserve">MIT DER </w:t>
    </w:r>
    <w:r w:rsidR="00BA27FE">
      <w:rPr>
        <w:b/>
        <w:szCs w:val="22"/>
      </w:rPr>
      <w:t>BAFIN ABGESTIMMTE FASSUNG</w:t>
    </w:r>
  </w:p>
  <w:p w14:paraId="3DB291ED" w14:textId="77777777" w:rsidR="00BA27FE" w:rsidRPr="00B602A6" w:rsidRDefault="00BA27FE" w:rsidP="00BA27FE">
    <w:pPr>
      <w:pStyle w:val="Kopfzeile"/>
      <w:tabs>
        <w:tab w:val="clear" w:pos="4536"/>
      </w:tabs>
      <w:spacing w:after="0" w:line="240" w:lineRule="auto"/>
      <w:jc w:val="center"/>
      <w:rPr>
        <w:b/>
        <w:sz w:val="16"/>
        <w:szCs w:val="16"/>
      </w:rPr>
    </w:pPr>
    <w:r>
      <w:rPr>
        <w:b/>
        <w:sz w:val="16"/>
        <w:szCs w:val="16"/>
      </w:rPr>
      <w:t>Muster-Bausteine für Besondere</w:t>
    </w:r>
    <w:r w:rsidRPr="00B602A6">
      <w:rPr>
        <w:b/>
        <w:sz w:val="16"/>
        <w:szCs w:val="16"/>
      </w:rPr>
      <w:t xml:space="preserve"> </w:t>
    </w:r>
    <w:r>
      <w:rPr>
        <w:b/>
        <w:sz w:val="16"/>
        <w:szCs w:val="16"/>
      </w:rPr>
      <w:t>Anlage</w:t>
    </w:r>
    <w:r w:rsidRPr="00B602A6">
      <w:rPr>
        <w:b/>
        <w:sz w:val="16"/>
        <w:szCs w:val="16"/>
      </w:rPr>
      <w:t>bedingungen für</w:t>
    </w:r>
  </w:p>
  <w:p w14:paraId="06950EFD" w14:textId="77777777" w:rsidR="00BA27FE" w:rsidRPr="00B602A6" w:rsidRDefault="00BA27FE" w:rsidP="00BA27FE">
    <w:pPr>
      <w:pStyle w:val="Kopfzeile"/>
      <w:tabs>
        <w:tab w:val="clear" w:pos="4536"/>
      </w:tabs>
      <w:spacing w:after="0" w:line="240" w:lineRule="auto"/>
      <w:jc w:val="center"/>
      <w:rPr>
        <w:b/>
        <w:sz w:val="16"/>
        <w:szCs w:val="16"/>
      </w:rPr>
    </w:pPr>
    <w:r>
      <w:rPr>
        <w:b/>
        <w:sz w:val="16"/>
        <w:szCs w:val="16"/>
      </w:rPr>
      <w:t>OGAW-</w:t>
    </w:r>
    <w:r w:rsidRPr="00B602A6">
      <w:rPr>
        <w:b/>
        <w:sz w:val="16"/>
        <w:szCs w:val="16"/>
      </w:rPr>
      <w:t>SONDERVERMÖGEN</w:t>
    </w:r>
  </w:p>
  <w:p w14:paraId="1F6CA3E1" w14:textId="77777777" w:rsidR="00BA27FE" w:rsidRPr="00B602A6" w:rsidRDefault="00BA27FE" w:rsidP="00BA27FE">
    <w:pPr>
      <w:pStyle w:val="Kopfzeile"/>
      <w:tabs>
        <w:tab w:val="clear" w:pos="4536"/>
      </w:tabs>
      <w:spacing w:after="0" w:line="240" w:lineRule="auto"/>
      <w:jc w:val="center"/>
      <w:rPr>
        <w:b/>
        <w:sz w:val="16"/>
        <w:szCs w:val="16"/>
      </w:rPr>
    </w:pPr>
  </w:p>
  <w:p w14:paraId="25D7A969" w14:textId="69445271" w:rsidR="00BA27FE" w:rsidRDefault="00BA27FE" w:rsidP="00BA27FE">
    <w:pPr>
      <w:pStyle w:val="Kopfzeile"/>
      <w:tabs>
        <w:tab w:val="clear" w:pos="4536"/>
      </w:tabs>
      <w:spacing w:after="0" w:line="240" w:lineRule="auto"/>
      <w:jc w:val="center"/>
      <w:rPr>
        <w:b/>
        <w:sz w:val="16"/>
        <w:szCs w:val="16"/>
      </w:rPr>
    </w:pPr>
    <w:r w:rsidRPr="00B602A6">
      <w:rPr>
        <w:b/>
        <w:sz w:val="16"/>
        <w:szCs w:val="16"/>
      </w:rPr>
      <w:t>(Stand:</w:t>
    </w:r>
    <w:r w:rsidR="00ED6CAA">
      <w:rPr>
        <w:b/>
        <w:sz w:val="16"/>
        <w:szCs w:val="16"/>
      </w:rPr>
      <w:t xml:space="preserve"> </w:t>
    </w:r>
    <w:r w:rsidR="00F32030" w:rsidRPr="00ED6CAA">
      <w:rPr>
        <w:b/>
        <w:color w:val="000000" w:themeColor="text1"/>
        <w:sz w:val="16"/>
        <w:szCs w:val="16"/>
      </w:rPr>
      <w:t>2</w:t>
    </w:r>
    <w:r w:rsidR="00ED6CAA" w:rsidRPr="00ED6CAA">
      <w:rPr>
        <w:b/>
        <w:color w:val="000000" w:themeColor="text1"/>
        <w:sz w:val="16"/>
        <w:szCs w:val="16"/>
      </w:rPr>
      <w:t>1</w:t>
    </w:r>
    <w:r w:rsidR="00F32030" w:rsidRPr="00ED6CAA">
      <w:rPr>
        <w:b/>
        <w:color w:val="000000" w:themeColor="text1"/>
        <w:sz w:val="16"/>
        <w:szCs w:val="16"/>
      </w:rPr>
      <w:t xml:space="preserve">. </w:t>
    </w:r>
    <w:r w:rsidR="00ED6CAA" w:rsidRPr="00ED6CAA">
      <w:rPr>
        <w:b/>
        <w:color w:val="000000" w:themeColor="text1"/>
        <w:sz w:val="16"/>
        <w:szCs w:val="16"/>
      </w:rPr>
      <w:t>Dezember</w:t>
    </w:r>
    <w:r w:rsidR="00F32030" w:rsidRPr="00ED6CAA">
      <w:rPr>
        <w:b/>
        <w:color w:val="000000" w:themeColor="text1"/>
        <w:sz w:val="16"/>
        <w:szCs w:val="16"/>
      </w:rPr>
      <w:t xml:space="preserve"> 2023</w:t>
    </w:r>
    <w:r w:rsidRPr="00B602A6">
      <w:rPr>
        <w:b/>
        <w:sz w:val="16"/>
        <w:szCs w:val="16"/>
      </w:rPr>
      <w:t>)</w:t>
    </w:r>
  </w:p>
  <w:p w14:paraId="5D8ADD3C" w14:textId="77777777" w:rsidR="00BA27FE" w:rsidRDefault="00BA27FE" w:rsidP="00BA27FE">
    <w:pPr>
      <w:pStyle w:val="Kopfzeile"/>
      <w:tabs>
        <w:tab w:val="clear" w:pos="4536"/>
      </w:tabs>
      <w:spacing w:after="0" w:line="240" w:lineRule="auto"/>
      <w:jc w:val="center"/>
      <w:rPr>
        <w:b/>
        <w:sz w:val="16"/>
        <w:szCs w:val="16"/>
      </w:rPr>
    </w:pPr>
  </w:p>
  <w:p w14:paraId="33563A90" w14:textId="77777777" w:rsidR="00BA27FE" w:rsidRDefault="00BA27FE" w:rsidP="00BA27FE">
    <w:pPr>
      <w:pStyle w:val="Kopfzeile"/>
      <w:tabs>
        <w:tab w:val="clear" w:pos="4536"/>
      </w:tabs>
      <w:spacing w:after="0" w:line="240" w:lineRule="auto"/>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A206" w14:textId="77777777" w:rsidR="00434D47" w:rsidRDefault="00434D47">
    <w:pPr>
      <w:pStyle w:val="Kopfzeile"/>
      <w:tabs>
        <w:tab w:val="clear" w:pos="4536"/>
      </w:tabs>
      <w:spacing w:after="0" w:line="240" w:lineRule="auto"/>
      <w:jc w:val="center"/>
      <w:rPr>
        <w:sz w:val="16"/>
      </w:rPr>
    </w:pPr>
  </w:p>
  <w:p w14:paraId="1FD89CF1" w14:textId="77777777" w:rsidR="00434D47" w:rsidRPr="00A4221C" w:rsidRDefault="00434D47" w:rsidP="009A03AE">
    <w:pPr>
      <w:pStyle w:val="Kopfzeile"/>
      <w:tabs>
        <w:tab w:val="clear" w:pos="4536"/>
      </w:tabs>
      <w:spacing w:after="0" w:line="240" w:lineRule="auto"/>
      <w:jc w:val="center"/>
      <w:rPr>
        <w:b/>
        <w:szCs w:val="22"/>
      </w:rPr>
    </w:pPr>
    <w:r>
      <w:rPr>
        <w:b/>
        <w:szCs w:val="22"/>
      </w:rPr>
      <w:t>MIT DER BAFIN ABGESTIMMTE FASSUNG</w:t>
    </w:r>
  </w:p>
  <w:p w14:paraId="54099E72" w14:textId="77777777" w:rsidR="00434D47" w:rsidRPr="00B602A6" w:rsidRDefault="00434D47" w:rsidP="009A03AE">
    <w:pPr>
      <w:pStyle w:val="Kopfzeile"/>
      <w:tabs>
        <w:tab w:val="clear" w:pos="4536"/>
      </w:tabs>
      <w:spacing w:after="0" w:line="240" w:lineRule="auto"/>
      <w:jc w:val="center"/>
      <w:rPr>
        <w:b/>
        <w:sz w:val="16"/>
        <w:szCs w:val="16"/>
      </w:rPr>
    </w:pPr>
    <w:r>
      <w:rPr>
        <w:b/>
        <w:sz w:val="16"/>
        <w:szCs w:val="16"/>
      </w:rPr>
      <w:t>Muster-Bausteine für Besondere</w:t>
    </w:r>
    <w:r w:rsidRPr="00B602A6">
      <w:rPr>
        <w:b/>
        <w:sz w:val="16"/>
        <w:szCs w:val="16"/>
      </w:rPr>
      <w:t xml:space="preserve"> </w:t>
    </w:r>
    <w:r>
      <w:rPr>
        <w:b/>
        <w:sz w:val="16"/>
        <w:szCs w:val="16"/>
      </w:rPr>
      <w:t>Anlage</w:t>
    </w:r>
    <w:r w:rsidRPr="00B602A6">
      <w:rPr>
        <w:b/>
        <w:sz w:val="16"/>
        <w:szCs w:val="16"/>
      </w:rPr>
      <w:t>bedingungen für</w:t>
    </w:r>
  </w:p>
  <w:p w14:paraId="10104D8A" w14:textId="77777777" w:rsidR="00434D47" w:rsidRPr="00B602A6" w:rsidRDefault="00434D47" w:rsidP="009A03AE">
    <w:pPr>
      <w:pStyle w:val="Kopfzeile"/>
      <w:tabs>
        <w:tab w:val="clear" w:pos="4536"/>
      </w:tabs>
      <w:spacing w:after="0" w:line="240" w:lineRule="auto"/>
      <w:jc w:val="center"/>
      <w:rPr>
        <w:b/>
        <w:sz w:val="16"/>
        <w:szCs w:val="16"/>
      </w:rPr>
    </w:pPr>
    <w:r>
      <w:rPr>
        <w:b/>
        <w:sz w:val="16"/>
        <w:szCs w:val="16"/>
      </w:rPr>
      <w:t>OGAW-</w:t>
    </w:r>
    <w:r w:rsidRPr="00B602A6">
      <w:rPr>
        <w:b/>
        <w:sz w:val="16"/>
        <w:szCs w:val="16"/>
      </w:rPr>
      <w:t>SONDERVERMÖGEN</w:t>
    </w:r>
  </w:p>
  <w:p w14:paraId="5C7B5D9B" w14:textId="77777777" w:rsidR="00434D47" w:rsidRPr="00B602A6" w:rsidRDefault="00434D47" w:rsidP="009A03AE">
    <w:pPr>
      <w:pStyle w:val="Kopfzeile"/>
      <w:tabs>
        <w:tab w:val="clear" w:pos="4536"/>
      </w:tabs>
      <w:spacing w:after="0" w:line="240" w:lineRule="auto"/>
      <w:jc w:val="center"/>
      <w:rPr>
        <w:b/>
        <w:sz w:val="16"/>
        <w:szCs w:val="16"/>
      </w:rPr>
    </w:pPr>
  </w:p>
  <w:p w14:paraId="03C2DF2D" w14:textId="77777777" w:rsidR="00434D47" w:rsidRDefault="00434D47" w:rsidP="009A03AE">
    <w:pPr>
      <w:pStyle w:val="Kopfzeile"/>
      <w:tabs>
        <w:tab w:val="clear" w:pos="4536"/>
      </w:tabs>
      <w:spacing w:after="0" w:line="240" w:lineRule="auto"/>
      <w:jc w:val="center"/>
      <w:rPr>
        <w:b/>
        <w:sz w:val="16"/>
        <w:szCs w:val="16"/>
      </w:rPr>
    </w:pPr>
    <w:r w:rsidRPr="00B602A6">
      <w:rPr>
        <w:b/>
        <w:sz w:val="16"/>
        <w:szCs w:val="16"/>
      </w:rPr>
      <w:t>(Stand:</w:t>
    </w:r>
    <w:r>
      <w:rPr>
        <w:b/>
        <w:sz w:val="16"/>
        <w:szCs w:val="16"/>
      </w:rPr>
      <w:t xml:space="preserve"> August 2018; Version mit InvStG 2018</w:t>
    </w:r>
    <w:r w:rsidRPr="00B602A6">
      <w:rPr>
        <w:b/>
        <w:sz w:val="16"/>
        <w:szCs w:val="16"/>
      </w:rPr>
      <w:t>)</w:t>
    </w:r>
  </w:p>
  <w:p w14:paraId="65F868FC" w14:textId="77777777" w:rsidR="00434D47" w:rsidRDefault="00434D47" w:rsidP="009A03AE">
    <w:pPr>
      <w:pStyle w:val="Kopfzeile"/>
      <w:tabs>
        <w:tab w:val="clear" w:pos="4536"/>
      </w:tabs>
      <w:spacing w:after="0" w:line="240" w:lineRule="auto"/>
      <w:jc w:val="center"/>
      <w:rPr>
        <w:b/>
        <w:sz w:val="16"/>
        <w:szCs w:val="16"/>
      </w:rPr>
    </w:pPr>
  </w:p>
  <w:p w14:paraId="05E068C3" w14:textId="77777777" w:rsidR="00434D47" w:rsidRDefault="00434D47" w:rsidP="009A03AE">
    <w:pPr>
      <w:pStyle w:val="Kopfzeile"/>
      <w:tabs>
        <w:tab w:val="clear" w:pos="4536"/>
      </w:tabs>
      <w:spacing w:after="0" w:line="240" w:lineRule="auto"/>
      <w:jc w:val="center"/>
      <w:rPr>
        <w:b/>
        <w:sz w:val="16"/>
        <w:szCs w:val="16"/>
      </w:rPr>
    </w:pPr>
  </w:p>
  <w:p w14:paraId="0D1FB2D2" w14:textId="77777777" w:rsidR="00434D47" w:rsidRPr="00B602A6" w:rsidRDefault="00434D47" w:rsidP="009A03AE">
    <w:pPr>
      <w:pStyle w:val="Kopfzeile"/>
      <w:tabs>
        <w:tab w:val="clear" w:pos="4536"/>
      </w:tabs>
      <w:spacing w:after="0" w:line="240" w:lineRule="auto"/>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8F6A" w14:textId="77777777" w:rsidR="00434D47" w:rsidRDefault="00434D47" w:rsidP="00B01AD0">
    <w:pPr>
      <w:pStyle w:val="Kopfzeile"/>
      <w:jc w:val="center"/>
    </w:pPr>
    <w:r>
      <w:rPr>
        <w:b/>
        <w:szCs w:val="22"/>
      </w:rPr>
      <w:t>MIT DER BAFIN ABGESTIMMTE FASSUNG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1E40" w14:textId="77777777" w:rsidR="00434D47" w:rsidRDefault="00434D47">
    <w:pPr>
      <w:pStyle w:val="Kopfzeile"/>
      <w:tabs>
        <w:tab w:val="clear" w:pos="4536"/>
      </w:tabs>
      <w:spacing w:after="0" w:line="240" w:lineRule="auto"/>
      <w:jc w:val="center"/>
      <w:rPr>
        <w:sz w:val="12"/>
      </w:rPr>
    </w:pPr>
  </w:p>
  <w:p w14:paraId="3AC04B07" w14:textId="77777777" w:rsidR="00BA27FE" w:rsidRDefault="00AF284E" w:rsidP="00BA27FE">
    <w:pPr>
      <w:pStyle w:val="Kopfzeile"/>
      <w:tabs>
        <w:tab w:val="clear" w:pos="4536"/>
      </w:tabs>
      <w:spacing w:after="0" w:line="240" w:lineRule="auto"/>
      <w:jc w:val="center"/>
      <w:rPr>
        <w:b/>
        <w:szCs w:val="22"/>
      </w:rPr>
    </w:pPr>
    <w:r>
      <w:rPr>
        <w:b/>
        <w:szCs w:val="22"/>
      </w:rPr>
      <w:t xml:space="preserve">MIT DER </w:t>
    </w:r>
    <w:r w:rsidR="00BA27FE">
      <w:rPr>
        <w:b/>
        <w:szCs w:val="22"/>
      </w:rPr>
      <w:t>BAFIN ABGESTIMMTE FASSUNG</w:t>
    </w:r>
  </w:p>
  <w:p w14:paraId="7E0B13D8" w14:textId="77777777" w:rsidR="00BA27FE" w:rsidRPr="00B602A6" w:rsidRDefault="00BA27FE" w:rsidP="00BA27FE">
    <w:pPr>
      <w:pStyle w:val="Kopfzeile"/>
      <w:tabs>
        <w:tab w:val="clear" w:pos="4536"/>
      </w:tabs>
      <w:spacing w:after="0" w:line="240" w:lineRule="auto"/>
      <w:jc w:val="center"/>
      <w:rPr>
        <w:b/>
        <w:sz w:val="16"/>
        <w:szCs w:val="16"/>
      </w:rPr>
    </w:pPr>
    <w:r>
      <w:rPr>
        <w:b/>
        <w:sz w:val="16"/>
        <w:szCs w:val="16"/>
      </w:rPr>
      <w:t>Muster-Bausteine für Besondere</w:t>
    </w:r>
    <w:r w:rsidRPr="00B602A6">
      <w:rPr>
        <w:b/>
        <w:sz w:val="16"/>
        <w:szCs w:val="16"/>
      </w:rPr>
      <w:t xml:space="preserve"> </w:t>
    </w:r>
    <w:r>
      <w:rPr>
        <w:b/>
        <w:sz w:val="16"/>
        <w:szCs w:val="16"/>
      </w:rPr>
      <w:t>Anlage</w:t>
    </w:r>
    <w:r w:rsidRPr="00B602A6">
      <w:rPr>
        <w:b/>
        <w:sz w:val="16"/>
        <w:szCs w:val="16"/>
      </w:rPr>
      <w:t>bedingungen für</w:t>
    </w:r>
  </w:p>
  <w:p w14:paraId="0A05508A" w14:textId="77777777" w:rsidR="00BA27FE" w:rsidRPr="00B602A6" w:rsidRDefault="00BA27FE" w:rsidP="00BA27FE">
    <w:pPr>
      <w:pStyle w:val="Kopfzeile"/>
      <w:tabs>
        <w:tab w:val="clear" w:pos="4536"/>
      </w:tabs>
      <w:spacing w:after="0" w:line="240" w:lineRule="auto"/>
      <w:jc w:val="center"/>
      <w:rPr>
        <w:b/>
        <w:sz w:val="16"/>
        <w:szCs w:val="16"/>
      </w:rPr>
    </w:pPr>
    <w:r>
      <w:rPr>
        <w:b/>
        <w:sz w:val="16"/>
        <w:szCs w:val="16"/>
      </w:rPr>
      <w:t>OGAW-</w:t>
    </w:r>
    <w:r w:rsidRPr="00B602A6">
      <w:rPr>
        <w:b/>
        <w:sz w:val="16"/>
        <w:szCs w:val="16"/>
      </w:rPr>
      <w:t>SONDERVERMÖGEN</w:t>
    </w:r>
  </w:p>
  <w:p w14:paraId="08EF7668" w14:textId="77777777" w:rsidR="00BA27FE" w:rsidRPr="00B602A6" w:rsidRDefault="00BA27FE" w:rsidP="00BA27FE">
    <w:pPr>
      <w:pStyle w:val="Kopfzeile"/>
      <w:tabs>
        <w:tab w:val="clear" w:pos="4536"/>
      </w:tabs>
      <w:spacing w:after="0" w:line="240" w:lineRule="auto"/>
      <w:jc w:val="center"/>
      <w:rPr>
        <w:b/>
        <w:sz w:val="16"/>
        <w:szCs w:val="16"/>
      </w:rPr>
    </w:pPr>
  </w:p>
  <w:p w14:paraId="659E3711" w14:textId="56C6CB9D" w:rsidR="00BA27FE" w:rsidRDefault="00BA27FE" w:rsidP="00BA27FE">
    <w:pPr>
      <w:pStyle w:val="Kopfzeile"/>
      <w:tabs>
        <w:tab w:val="clear" w:pos="4536"/>
      </w:tabs>
      <w:spacing w:after="0" w:line="240" w:lineRule="auto"/>
      <w:jc w:val="center"/>
      <w:rPr>
        <w:b/>
        <w:sz w:val="16"/>
        <w:szCs w:val="16"/>
      </w:rPr>
    </w:pPr>
    <w:r w:rsidRPr="00B602A6">
      <w:rPr>
        <w:b/>
        <w:sz w:val="16"/>
        <w:szCs w:val="16"/>
      </w:rPr>
      <w:t>(Stand:</w:t>
    </w:r>
    <w:r w:rsidR="00F32030">
      <w:rPr>
        <w:b/>
        <w:sz w:val="16"/>
        <w:szCs w:val="16"/>
      </w:rPr>
      <w:t xml:space="preserve"> </w:t>
    </w:r>
    <w:r w:rsidR="00ED6CAA" w:rsidRPr="00ED6CAA">
      <w:rPr>
        <w:b/>
        <w:color w:val="000000" w:themeColor="text1"/>
        <w:sz w:val="16"/>
        <w:szCs w:val="16"/>
      </w:rPr>
      <w:t>21. Dezember 2023</w:t>
    </w:r>
    <w:r w:rsidRPr="00B602A6">
      <w:rPr>
        <w:b/>
        <w:sz w:val="16"/>
        <w:szCs w:val="16"/>
      </w:rPr>
      <w:t>)</w:t>
    </w:r>
  </w:p>
  <w:p w14:paraId="01B3655D" w14:textId="77777777" w:rsidR="00BA27FE" w:rsidRDefault="00BA27FE" w:rsidP="00BA27FE">
    <w:pPr>
      <w:pStyle w:val="Kopfzeile"/>
      <w:tabs>
        <w:tab w:val="clear" w:pos="4536"/>
      </w:tabs>
      <w:spacing w:after="0" w:line="240" w:lineRule="auto"/>
      <w:jc w:val="center"/>
      <w:rPr>
        <w:b/>
        <w:sz w:val="16"/>
        <w:szCs w:val="16"/>
      </w:rPr>
    </w:pPr>
  </w:p>
  <w:p w14:paraId="5A44609F" w14:textId="77777777" w:rsidR="00BA27FE" w:rsidRDefault="00BA27FE" w:rsidP="00BA27FE">
    <w:pPr>
      <w:pStyle w:val="Kopfzeile"/>
      <w:tabs>
        <w:tab w:val="clear" w:pos="4536"/>
      </w:tabs>
      <w:spacing w:after="0" w:line="240" w:lineRule="auto"/>
      <w:jc w:val="center"/>
      <w:rPr>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8371" w14:textId="77777777" w:rsidR="00BA27FE" w:rsidRDefault="00BA27FE" w:rsidP="00BA27FE">
    <w:pPr>
      <w:pStyle w:val="Kopfzeile"/>
      <w:tabs>
        <w:tab w:val="clear" w:pos="4536"/>
      </w:tabs>
      <w:spacing w:after="0" w:line="240" w:lineRule="auto"/>
      <w:jc w:val="center"/>
      <w:rPr>
        <w:b/>
        <w:szCs w:val="22"/>
      </w:rPr>
    </w:pPr>
    <w:r>
      <w:rPr>
        <w:b/>
        <w:szCs w:val="22"/>
      </w:rPr>
      <w:t>MIT DER BAFIN ABGESTIMMTE FASSUNG</w:t>
    </w:r>
  </w:p>
  <w:p w14:paraId="363262AA" w14:textId="77777777" w:rsidR="00BA27FE" w:rsidRPr="00B602A6" w:rsidRDefault="00BA27FE" w:rsidP="00BA27FE">
    <w:pPr>
      <w:pStyle w:val="Kopfzeile"/>
      <w:tabs>
        <w:tab w:val="clear" w:pos="4536"/>
      </w:tabs>
      <w:spacing w:after="0" w:line="240" w:lineRule="auto"/>
      <w:jc w:val="center"/>
      <w:rPr>
        <w:b/>
        <w:sz w:val="16"/>
        <w:szCs w:val="16"/>
      </w:rPr>
    </w:pPr>
    <w:r>
      <w:rPr>
        <w:b/>
        <w:sz w:val="16"/>
        <w:szCs w:val="16"/>
      </w:rPr>
      <w:t>Muster-Bausteine für Besondere</w:t>
    </w:r>
    <w:r w:rsidRPr="00B602A6">
      <w:rPr>
        <w:b/>
        <w:sz w:val="16"/>
        <w:szCs w:val="16"/>
      </w:rPr>
      <w:t xml:space="preserve"> </w:t>
    </w:r>
    <w:r>
      <w:rPr>
        <w:b/>
        <w:sz w:val="16"/>
        <w:szCs w:val="16"/>
      </w:rPr>
      <w:t>Anlage</w:t>
    </w:r>
    <w:r w:rsidRPr="00B602A6">
      <w:rPr>
        <w:b/>
        <w:sz w:val="16"/>
        <w:szCs w:val="16"/>
      </w:rPr>
      <w:t>bedingungen für</w:t>
    </w:r>
  </w:p>
  <w:p w14:paraId="45FFDAB7" w14:textId="77777777" w:rsidR="00BA27FE" w:rsidRPr="00B602A6" w:rsidRDefault="00BA27FE" w:rsidP="00BA27FE">
    <w:pPr>
      <w:pStyle w:val="Kopfzeile"/>
      <w:tabs>
        <w:tab w:val="clear" w:pos="4536"/>
      </w:tabs>
      <w:spacing w:after="0" w:line="240" w:lineRule="auto"/>
      <w:jc w:val="center"/>
      <w:rPr>
        <w:b/>
        <w:sz w:val="16"/>
        <w:szCs w:val="16"/>
      </w:rPr>
    </w:pPr>
    <w:r>
      <w:rPr>
        <w:b/>
        <w:sz w:val="16"/>
        <w:szCs w:val="16"/>
      </w:rPr>
      <w:t>OGAW-</w:t>
    </w:r>
    <w:r w:rsidRPr="00B602A6">
      <w:rPr>
        <w:b/>
        <w:sz w:val="16"/>
        <w:szCs w:val="16"/>
      </w:rPr>
      <w:t>SONDERVERMÖGEN</w:t>
    </w:r>
  </w:p>
  <w:p w14:paraId="037678D9" w14:textId="77777777" w:rsidR="00BA27FE" w:rsidRPr="00B602A6" w:rsidRDefault="00BA27FE" w:rsidP="00BA27FE">
    <w:pPr>
      <w:pStyle w:val="Kopfzeile"/>
      <w:tabs>
        <w:tab w:val="clear" w:pos="4536"/>
      </w:tabs>
      <w:spacing w:after="0" w:line="240" w:lineRule="auto"/>
      <w:jc w:val="center"/>
      <w:rPr>
        <w:b/>
        <w:sz w:val="16"/>
        <w:szCs w:val="16"/>
      </w:rPr>
    </w:pPr>
  </w:p>
  <w:p w14:paraId="7306D28E" w14:textId="5280D7FD" w:rsidR="00BA27FE" w:rsidRDefault="00BA27FE" w:rsidP="00BA27FE">
    <w:pPr>
      <w:pStyle w:val="Kopfzeile"/>
      <w:tabs>
        <w:tab w:val="clear" w:pos="4536"/>
      </w:tabs>
      <w:spacing w:after="0" w:line="240" w:lineRule="auto"/>
      <w:jc w:val="center"/>
      <w:rPr>
        <w:b/>
        <w:sz w:val="16"/>
        <w:szCs w:val="16"/>
      </w:rPr>
    </w:pPr>
    <w:r w:rsidRPr="00B602A6">
      <w:rPr>
        <w:b/>
        <w:sz w:val="16"/>
        <w:szCs w:val="16"/>
      </w:rPr>
      <w:t>(Stand:</w:t>
    </w:r>
    <w:r w:rsidR="00F32030">
      <w:rPr>
        <w:b/>
        <w:sz w:val="16"/>
        <w:szCs w:val="16"/>
      </w:rPr>
      <w:t xml:space="preserve"> </w:t>
    </w:r>
    <w:r w:rsidR="00ED6CAA" w:rsidRPr="00ED6CAA">
      <w:rPr>
        <w:b/>
        <w:color w:val="000000" w:themeColor="text1"/>
        <w:sz w:val="16"/>
        <w:szCs w:val="16"/>
      </w:rPr>
      <w:t>21. Dezember 2023</w:t>
    </w:r>
    <w:r w:rsidRPr="00B602A6">
      <w:rPr>
        <w:b/>
        <w:sz w:val="16"/>
        <w:szCs w:val="16"/>
      </w:rPr>
      <w:t>)</w:t>
    </w:r>
  </w:p>
  <w:p w14:paraId="67C8747D" w14:textId="77777777" w:rsidR="00434D47" w:rsidRPr="00B602A6" w:rsidRDefault="00434D47" w:rsidP="001074A9">
    <w:pPr>
      <w:pStyle w:val="Kopfzeile"/>
      <w:tabs>
        <w:tab w:val="clear" w:pos="4536"/>
      </w:tabs>
      <w:spacing w:after="0" w:line="240" w:lineRule="auto"/>
      <w:jc w:val="center"/>
      <w:rPr>
        <w:b/>
        <w:sz w:val="16"/>
        <w:szCs w:val="16"/>
      </w:rPr>
    </w:pPr>
  </w:p>
  <w:p w14:paraId="1029D6A0" w14:textId="77777777" w:rsidR="00434D47" w:rsidRDefault="00434D47" w:rsidP="001074A9">
    <w:pPr>
      <w:pStyle w:val="Kopfzeile"/>
      <w:tabs>
        <w:tab w:val="clear" w:pos="4536"/>
      </w:tabs>
      <w:spacing w:after="0" w:line="240" w:lineRule="auto"/>
      <w:jc w:val="center"/>
      <w:rPr>
        <w:b/>
        <w:sz w:val="16"/>
        <w:szCs w:val="16"/>
      </w:rPr>
    </w:pPr>
  </w:p>
  <w:p w14:paraId="301B6B3A" w14:textId="77777777" w:rsidR="00434D47" w:rsidRDefault="00434D47" w:rsidP="001074A9">
    <w:pPr>
      <w:pStyle w:val="Kopfzeile"/>
      <w:tabs>
        <w:tab w:val="clear" w:pos="4536"/>
      </w:tabs>
      <w:spacing w:after="0" w:line="240" w:lineRule="auto"/>
      <w:jc w:val="center"/>
      <w:rPr>
        <w:b/>
        <w:sz w:val="16"/>
        <w:szCs w:val="16"/>
      </w:rPr>
    </w:pPr>
  </w:p>
  <w:p w14:paraId="26ED6544" w14:textId="77777777" w:rsidR="00434D47" w:rsidRPr="00B602A6" w:rsidRDefault="00434D47" w:rsidP="001074A9">
    <w:pPr>
      <w:pStyle w:val="Kopfzeile"/>
      <w:tabs>
        <w:tab w:val="clear" w:pos="4536"/>
      </w:tabs>
      <w:spacing w:after="0" w:line="240" w:lineRule="auto"/>
      <w:jc w:val="center"/>
      <w:rPr>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65E" w14:textId="77777777" w:rsidR="00BA27FE" w:rsidRDefault="00AF284E" w:rsidP="001074A9">
    <w:pPr>
      <w:pStyle w:val="Kopfzeile"/>
      <w:tabs>
        <w:tab w:val="clear" w:pos="4536"/>
      </w:tabs>
      <w:spacing w:after="0" w:line="240" w:lineRule="auto"/>
      <w:jc w:val="center"/>
      <w:rPr>
        <w:b/>
        <w:szCs w:val="22"/>
      </w:rPr>
    </w:pPr>
    <w:r>
      <w:rPr>
        <w:b/>
        <w:szCs w:val="22"/>
      </w:rPr>
      <w:t xml:space="preserve">MIT DER </w:t>
    </w:r>
    <w:r w:rsidR="00434D47">
      <w:rPr>
        <w:b/>
        <w:szCs w:val="22"/>
      </w:rPr>
      <w:t>BAFIN ABGESTIMMTE FASSUNG</w:t>
    </w:r>
  </w:p>
  <w:p w14:paraId="49FA8E70" w14:textId="77777777" w:rsidR="00434D47" w:rsidRPr="00B602A6" w:rsidRDefault="00434D47" w:rsidP="001074A9">
    <w:pPr>
      <w:pStyle w:val="Kopfzeile"/>
      <w:tabs>
        <w:tab w:val="clear" w:pos="4536"/>
      </w:tabs>
      <w:spacing w:after="0" w:line="240" w:lineRule="auto"/>
      <w:jc w:val="center"/>
      <w:rPr>
        <w:b/>
        <w:sz w:val="16"/>
        <w:szCs w:val="16"/>
      </w:rPr>
    </w:pPr>
    <w:r>
      <w:rPr>
        <w:b/>
        <w:sz w:val="16"/>
        <w:szCs w:val="16"/>
      </w:rPr>
      <w:t>Muster-Bausteine für Besondere</w:t>
    </w:r>
    <w:r w:rsidRPr="00B602A6">
      <w:rPr>
        <w:b/>
        <w:sz w:val="16"/>
        <w:szCs w:val="16"/>
      </w:rPr>
      <w:t xml:space="preserve"> </w:t>
    </w:r>
    <w:r>
      <w:rPr>
        <w:b/>
        <w:sz w:val="16"/>
        <w:szCs w:val="16"/>
      </w:rPr>
      <w:t>Anlage</w:t>
    </w:r>
    <w:r w:rsidRPr="00B602A6">
      <w:rPr>
        <w:b/>
        <w:sz w:val="16"/>
        <w:szCs w:val="16"/>
      </w:rPr>
      <w:t>bedingungen für</w:t>
    </w:r>
  </w:p>
  <w:p w14:paraId="2C3733CF" w14:textId="77777777" w:rsidR="00434D47" w:rsidRPr="00B602A6" w:rsidRDefault="00434D47" w:rsidP="001074A9">
    <w:pPr>
      <w:pStyle w:val="Kopfzeile"/>
      <w:tabs>
        <w:tab w:val="clear" w:pos="4536"/>
      </w:tabs>
      <w:spacing w:after="0" w:line="240" w:lineRule="auto"/>
      <w:jc w:val="center"/>
      <w:rPr>
        <w:b/>
        <w:sz w:val="16"/>
        <w:szCs w:val="16"/>
      </w:rPr>
    </w:pPr>
    <w:r>
      <w:rPr>
        <w:b/>
        <w:sz w:val="16"/>
        <w:szCs w:val="16"/>
      </w:rPr>
      <w:t>OGAW-</w:t>
    </w:r>
    <w:r w:rsidRPr="00B602A6">
      <w:rPr>
        <w:b/>
        <w:sz w:val="16"/>
        <w:szCs w:val="16"/>
      </w:rPr>
      <w:t>SONDERVERMÖGEN</w:t>
    </w:r>
  </w:p>
  <w:p w14:paraId="5CCB4CDC" w14:textId="77777777" w:rsidR="00434D47" w:rsidRPr="00B602A6" w:rsidRDefault="00434D47" w:rsidP="001074A9">
    <w:pPr>
      <w:pStyle w:val="Kopfzeile"/>
      <w:tabs>
        <w:tab w:val="clear" w:pos="4536"/>
      </w:tabs>
      <w:spacing w:after="0" w:line="240" w:lineRule="auto"/>
      <w:jc w:val="center"/>
      <w:rPr>
        <w:b/>
        <w:sz w:val="16"/>
        <w:szCs w:val="16"/>
      </w:rPr>
    </w:pPr>
  </w:p>
  <w:p w14:paraId="7E508AC1" w14:textId="79897743" w:rsidR="00434D47" w:rsidRDefault="00434D47" w:rsidP="001074A9">
    <w:pPr>
      <w:pStyle w:val="Kopfzeile"/>
      <w:tabs>
        <w:tab w:val="clear" w:pos="4536"/>
      </w:tabs>
      <w:spacing w:after="0" w:line="240" w:lineRule="auto"/>
      <w:jc w:val="center"/>
      <w:rPr>
        <w:b/>
        <w:sz w:val="16"/>
        <w:szCs w:val="16"/>
      </w:rPr>
    </w:pPr>
    <w:r w:rsidRPr="00B602A6">
      <w:rPr>
        <w:b/>
        <w:sz w:val="16"/>
        <w:szCs w:val="16"/>
      </w:rPr>
      <w:t>(Stand:</w:t>
    </w:r>
    <w:r w:rsidR="00ED6CAA">
      <w:rPr>
        <w:b/>
        <w:sz w:val="16"/>
        <w:szCs w:val="16"/>
      </w:rPr>
      <w:t xml:space="preserve"> </w:t>
    </w:r>
    <w:r w:rsidR="00F32030" w:rsidRPr="00ED6CAA">
      <w:rPr>
        <w:b/>
        <w:color w:val="000000" w:themeColor="text1"/>
        <w:sz w:val="16"/>
        <w:szCs w:val="16"/>
      </w:rPr>
      <w:t>2</w:t>
    </w:r>
    <w:r w:rsidR="00ED6CAA" w:rsidRPr="00ED6CAA">
      <w:rPr>
        <w:b/>
        <w:color w:val="000000" w:themeColor="text1"/>
        <w:sz w:val="16"/>
        <w:szCs w:val="16"/>
      </w:rPr>
      <w:t>1</w:t>
    </w:r>
    <w:r w:rsidR="00F32030" w:rsidRPr="00ED6CAA">
      <w:rPr>
        <w:b/>
        <w:color w:val="000000" w:themeColor="text1"/>
        <w:sz w:val="16"/>
        <w:szCs w:val="16"/>
      </w:rPr>
      <w:t xml:space="preserve">. </w:t>
    </w:r>
    <w:r w:rsidR="00ED6CAA" w:rsidRPr="00ED6CAA">
      <w:rPr>
        <w:b/>
        <w:color w:val="000000" w:themeColor="text1"/>
        <w:sz w:val="16"/>
        <w:szCs w:val="16"/>
      </w:rPr>
      <w:t>Dezember</w:t>
    </w:r>
    <w:r w:rsidR="00F32030" w:rsidRPr="00ED6CAA">
      <w:rPr>
        <w:b/>
        <w:color w:val="000000" w:themeColor="text1"/>
        <w:sz w:val="16"/>
        <w:szCs w:val="16"/>
      </w:rPr>
      <w:t xml:space="preserve"> 2023</w:t>
    </w:r>
    <w:r w:rsidRPr="00B602A6">
      <w:rPr>
        <w:b/>
        <w:sz w:val="16"/>
        <w:szCs w:val="16"/>
      </w:rPr>
      <w:t>)</w:t>
    </w:r>
  </w:p>
  <w:p w14:paraId="72E81176" w14:textId="77777777" w:rsidR="00BA27FE" w:rsidRDefault="00BA27FE" w:rsidP="001074A9">
    <w:pPr>
      <w:pStyle w:val="Kopfzeile"/>
      <w:tabs>
        <w:tab w:val="clear" w:pos="4536"/>
      </w:tabs>
      <w:spacing w:after="0" w:line="240" w:lineRule="auto"/>
      <w:jc w:val="center"/>
      <w:rPr>
        <w:b/>
        <w:sz w:val="16"/>
        <w:szCs w:val="16"/>
      </w:rPr>
    </w:pPr>
  </w:p>
  <w:p w14:paraId="4BF2C5BE" w14:textId="77777777" w:rsidR="00BA27FE" w:rsidRDefault="00BA27FE" w:rsidP="001074A9">
    <w:pPr>
      <w:pStyle w:val="Kopfzeile"/>
      <w:tabs>
        <w:tab w:val="clear" w:pos="4536"/>
      </w:tabs>
      <w:spacing w:after="0" w:line="240" w:lineRule="aut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84337A"/>
    <w:multiLevelType w:val="singleLevel"/>
    <w:tmpl w:val="3F2E32EE"/>
    <w:lvl w:ilvl="0">
      <w:start w:val="1"/>
      <w:numFmt w:val="decimal"/>
      <w:lvlText w:val="%1."/>
      <w:lvlJc w:val="left"/>
      <w:pPr>
        <w:tabs>
          <w:tab w:val="num" w:pos="644"/>
        </w:tabs>
        <w:ind w:left="644" w:hanging="360"/>
      </w:pPr>
      <w:rPr>
        <w:rFonts w:cs="Times New Roman" w:hint="default"/>
      </w:rPr>
    </w:lvl>
  </w:abstractNum>
  <w:abstractNum w:abstractNumId="2" w15:restartNumberingAfterBreak="0">
    <w:nsid w:val="03503898"/>
    <w:multiLevelType w:val="singleLevel"/>
    <w:tmpl w:val="AAF4072E"/>
    <w:lvl w:ilvl="0">
      <w:start w:val="3"/>
      <w:numFmt w:val="bullet"/>
      <w:lvlText w:val="-"/>
      <w:lvlJc w:val="left"/>
      <w:pPr>
        <w:tabs>
          <w:tab w:val="num" w:pos="719"/>
        </w:tabs>
        <w:ind w:left="719" w:hanging="435"/>
      </w:pPr>
      <w:rPr>
        <w:rFonts w:ascii="Times New Roman" w:hAnsi="Times New Roman" w:hint="default"/>
      </w:rPr>
    </w:lvl>
  </w:abstractNum>
  <w:abstractNum w:abstractNumId="3" w15:restartNumberingAfterBreak="0">
    <w:nsid w:val="07B550E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9C44941"/>
    <w:multiLevelType w:val="singleLevel"/>
    <w:tmpl w:val="F75C3E0A"/>
    <w:lvl w:ilvl="0">
      <w:start w:val="1"/>
      <w:numFmt w:val="lowerLetter"/>
      <w:lvlText w:val="%1."/>
      <w:lvlJc w:val="left"/>
      <w:pPr>
        <w:tabs>
          <w:tab w:val="num" w:pos="704"/>
        </w:tabs>
        <w:ind w:left="704" w:hanging="420"/>
      </w:pPr>
      <w:rPr>
        <w:rFonts w:cs="Times New Roman" w:hint="default"/>
      </w:rPr>
    </w:lvl>
  </w:abstractNum>
  <w:abstractNum w:abstractNumId="5" w15:restartNumberingAfterBreak="0">
    <w:nsid w:val="0BFE4D82"/>
    <w:multiLevelType w:val="singleLevel"/>
    <w:tmpl w:val="7B76CC32"/>
    <w:lvl w:ilvl="0">
      <w:start w:val="2"/>
      <w:numFmt w:val="lowerLetter"/>
      <w:lvlText w:val="%1)"/>
      <w:lvlJc w:val="left"/>
      <w:pPr>
        <w:tabs>
          <w:tab w:val="num" w:pos="729"/>
        </w:tabs>
        <w:ind w:left="729" w:hanging="360"/>
      </w:pPr>
      <w:rPr>
        <w:rFonts w:cs="Times New Roman" w:hint="default"/>
      </w:rPr>
    </w:lvl>
  </w:abstractNum>
  <w:abstractNum w:abstractNumId="6" w15:restartNumberingAfterBreak="0">
    <w:nsid w:val="0D7563B4"/>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4F246EF"/>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56169B5"/>
    <w:multiLevelType w:val="multilevel"/>
    <w:tmpl w:val="7F28853C"/>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9" w15:restartNumberingAfterBreak="0">
    <w:nsid w:val="1C133A72"/>
    <w:multiLevelType w:val="hybridMultilevel"/>
    <w:tmpl w:val="4E0C9F96"/>
    <w:lvl w:ilvl="0" w:tplc="EF9838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A31EE"/>
    <w:multiLevelType w:val="singleLevel"/>
    <w:tmpl w:val="77821F20"/>
    <w:lvl w:ilvl="0">
      <w:start w:val="1"/>
      <w:numFmt w:val="decimal"/>
      <w:lvlText w:val="%1."/>
      <w:lvlJc w:val="left"/>
      <w:pPr>
        <w:tabs>
          <w:tab w:val="num" w:pos="644"/>
        </w:tabs>
        <w:ind w:left="644" w:hanging="360"/>
      </w:pPr>
      <w:rPr>
        <w:rFonts w:hint="default"/>
      </w:rPr>
    </w:lvl>
  </w:abstractNum>
  <w:abstractNum w:abstractNumId="11" w15:restartNumberingAfterBreak="0">
    <w:nsid w:val="1F7A5080"/>
    <w:multiLevelType w:val="singleLevel"/>
    <w:tmpl w:val="E65CEB84"/>
    <w:lvl w:ilvl="0">
      <w:start w:val="1"/>
      <w:numFmt w:val="lowerRoman"/>
      <w:lvlText w:val="%1)"/>
      <w:lvlJc w:val="left"/>
      <w:pPr>
        <w:tabs>
          <w:tab w:val="num" w:pos="1004"/>
        </w:tabs>
        <w:ind w:left="1004" w:hanging="720"/>
      </w:pPr>
      <w:rPr>
        <w:rFonts w:cs="Times New Roman" w:hint="default"/>
      </w:rPr>
    </w:lvl>
  </w:abstractNum>
  <w:abstractNum w:abstractNumId="12" w15:restartNumberingAfterBreak="0">
    <w:nsid w:val="1FCC088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3" w15:restartNumberingAfterBreak="0">
    <w:nsid w:val="20977F9E"/>
    <w:multiLevelType w:val="singleLevel"/>
    <w:tmpl w:val="3C18B0DA"/>
    <w:lvl w:ilvl="0">
      <w:start w:val="3"/>
      <w:numFmt w:val="decimal"/>
      <w:lvlText w:val="%1."/>
      <w:lvlJc w:val="left"/>
      <w:pPr>
        <w:tabs>
          <w:tab w:val="num" w:pos="644"/>
        </w:tabs>
        <w:ind w:left="644" w:hanging="360"/>
      </w:pPr>
      <w:rPr>
        <w:rFonts w:hint="default"/>
      </w:rPr>
    </w:lvl>
  </w:abstractNum>
  <w:abstractNum w:abstractNumId="14" w15:restartNumberingAfterBreak="0">
    <w:nsid w:val="21BC610A"/>
    <w:multiLevelType w:val="hybridMultilevel"/>
    <w:tmpl w:val="15D6F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00762E"/>
    <w:multiLevelType w:val="singleLevel"/>
    <w:tmpl w:val="32A8A63A"/>
    <w:lvl w:ilvl="0">
      <w:start w:val="1"/>
      <w:numFmt w:val="bullet"/>
      <w:lvlText w:val="-"/>
      <w:lvlJc w:val="left"/>
      <w:pPr>
        <w:tabs>
          <w:tab w:val="num" w:pos="644"/>
        </w:tabs>
        <w:ind w:left="644" w:hanging="360"/>
      </w:pPr>
      <w:rPr>
        <w:rFonts w:ascii="Times New Roman" w:hAnsi="Times New Roman" w:hint="default"/>
      </w:rPr>
    </w:lvl>
  </w:abstractNum>
  <w:abstractNum w:abstractNumId="16" w15:restartNumberingAfterBreak="0">
    <w:nsid w:val="2682118C"/>
    <w:multiLevelType w:val="singleLevel"/>
    <w:tmpl w:val="4D0C2DDE"/>
    <w:lvl w:ilvl="0">
      <w:start w:val="1"/>
      <w:numFmt w:val="lowerLetter"/>
      <w:lvlText w:val="%1)"/>
      <w:lvlJc w:val="left"/>
      <w:pPr>
        <w:tabs>
          <w:tab w:val="num" w:pos="360"/>
        </w:tabs>
        <w:ind w:left="360" w:hanging="360"/>
      </w:pPr>
      <w:rPr>
        <w:rFonts w:hint="default"/>
      </w:rPr>
    </w:lvl>
  </w:abstractNum>
  <w:abstractNum w:abstractNumId="17" w15:restartNumberingAfterBreak="0">
    <w:nsid w:val="2A6A6BBD"/>
    <w:multiLevelType w:val="singleLevel"/>
    <w:tmpl w:val="DCE4A066"/>
    <w:lvl w:ilvl="0">
      <w:start w:val="1"/>
      <w:numFmt w:val="decimal"/>
      <w:lvlText w:val="%1."/>
      <w:lvlJc w:val="left"/>
      <w:pPr>
        <w:tabs>
          <w:tab w:val="num" w:pos="786"/>
        </w:tabs>
        <w:ind w:left="786" w:hanging="360"/>
      </w:pPr>
      <w:rPr>
        <w:rFonts w:cs="Times New Roman" w:hint="default"/>
      </w:rPr>
    </w:lvl>
  </w:abstractNum>
  <w:abstractNum w:abstractNumId="18" w15:restartNumberingAfterBreak="0">
    <w:nsid w:val="2C1551AE"/>
    <w:multiLevelType w:val="singleLevel"/>
    <w:tmpl w:val="703076A6"/>
    <w:lvl w:ilvl="0">
      <w:start w:val="1"/>
      <w:numFmt w:val="decimal"/>
      <w:lvlText w:val="(%1)"/>
      <w:lvlJc w:val="left"/>
      <w:pPr>
        <w:tabs>
          <w:tab w:val="num" w:pos="390"/>
        </w:tabs>
        <w:ind w:left="390" w:hanging="390"/>
      </w:pPr>
      <w:rPr>
        <w:rFonts w:cs="Times New Roman" w:hint="default"/>
      </w:rPr>
    </w:lvl>
  </w:abstractNum>
  <w:abstractNum w:abstractNumId="19" w15:restartNumberingAfterBreak="0">
    <w:nsid w:val="2CD827B4"/>
    <w:multiLevelType w:val="singleLevel"/>
    <w:tmpl w:val="E180AA58"/>
    <w:lvl w:ilvl="0">
      <w:start w:val="1"/>
      <w:numFmt w:val="decimal"/>
      <w:lvlText w:val="%1."/>
      <w:lvlJc w:val="left"/>
      <w:pPr>
        <w:tabs>
          <w:tab w:val="num" w:pos="644"/>
        </w:tabs>
        <w:ind w:left="644" w:hanging="360"/>
      </w:pPr>
      <w:rPr>
        <w:rFonts w:cs="Times New Roman" w:hint="default"/>
      </w:rPr>
    </w:lvl>
  </w:abstractNum>
  <w:abstractNum w:abstractNumId="20" w15:restartNumberingAfterBreak="0">
    <w:nsid w:val="2CED4398"/>
    <w:multiLevelType w:val="singleLevel"/>
    <w:tmpl w:val="04070017"/>
    <w:lvl w:ilvl="0">
      <w:start w:val="1"/>
      <w:numFmt w:val="lowerLetter"/>
      <w:lvlText w:val="%1)"/>
      <w:lvlJc w:val="left"/>
      <w:pPr>
        <w:tabs>
          <w:tab w:val="num" w:pos="360"/>
        </w:tabs>
        <w:ind w:left="360" w:hanging="360"/>
      </w:pPr>
      <w:rPr>
        <w:rFonts w:cs="Times New Roman"/>
      </w:rPr>
    </w:lvl>
  </w:abstractNum>
  <w:abstractNum w:abstractNumId="21" w15:restartNumberingAfterBreak="0">
    <w:nsid w:val="2E541008"/>
    <w:multiLevelType w:val="singleLevel"/>
    <w:tmpl w:val="0407000F"/>
    <w:lvl w:ilvl="0">
      <w:start w:val="1"/>
      <w:numFmt w:val="decimal"/>
      <w:lvlText w:val="%1."/>
      <w:lvlJc w:val="left"/>
      <w:pPr>
        <w:tabs>
          <w:tab w:val="num" w:pos="360"/>
        </w:tabs>
        <w:ind w:left="360" w:hanging="360"/>
      </w:pPr>
      <w:rPr>
        <w:rFonts w:hint="default"/>
      </w:rPr>
    </w:lvl>
  </w:abstractNum>
  <w:abstractNum w:abstractNumId="22" w15:restartNumberingAfterBreak="0">
    <w:nsid w:val="305869E5"/>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451450C"/>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4" w15:restartNumberingAfterBreak="0">
    <w:nsid w:val="3C083B2D"/>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3FB36B8E"/>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6" w15:restartNumberingAfterBreak="0">
    <w:nsid w:val="3FB37632"/>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40DF5FC8"/>
    <w:multiLevelType w:val="singleLevel"/>
    <w:tmpl w:val="04070017"/>
    <w:lvl w:ilvl="0">
      <w:start w:val="1"/>
      <w:numFmt w:val="lowerLetter"/>
      <w:lvlText w:val="%1)"/>
      <w:lvlJc w:val="left"/>
      <w:pPr>
        <w:tabs>
          <w:tab w:val="num" w:pos="360"/>
        </w:tabs>
        <w:ind w:left="360" w:hanging="360"/>
      </w:pPr>
      <w:rPr>
        <w:rFonts w:cs="Times New Roman"/>
      </w:rPr>
    </w:lvl>
  </w:abstractNum>
  <w:abstractNum w:abstractNumId="28" w15:restartNumberingAfterBreak="0">
    <w:nsid w:val="41773CB1"/>
    <w:multiLevelType w:val="singleLevel"/>
    <w:tmpl w:val="08F27872"/>
    <w:lvl w:ilvl="0">
      <w:start w:val="1"/>
      <w:numFmt w:val="lowerLetter"/>
      <w:lvlText w:val="%1)"/>
      <w:lvlJc w:val="left"/>
      <w:pPr>
        <w:tabs>
          <w:tab w:val="num" w:pos="644"/>
        </w:tabs>
        <w:ind w:left="644" w:hanging="360"/>
      </w:pPr>
      <w:rPr>
        <w:rFonts w:cs="Times New Roman" w:hint="default"/>
      </w:rPr>
    </w:lvl>
  </w:abstractNum>
  <w:abstractNum w:abstractNumId="29" w15:restartNumberingAfterBreak="0">
    <w:nsid w:val="45771643"/>
    <w:multiLevelType w:val="hybridMultilevel"/>
    <w:tmpl w:val="705A9B4A"/>
    <w:lvl w:ilvl="0" w:tplc="65C46EEA">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59104E7"/>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47C81118"/>
    <w:multiLevelType w:val="singleLevel"/>
    <w:tmpl w:val="D90AD530"/>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51A867CC"/>
    <w:multiLevelType w:val="singleLevel"/>
    <w:tmpl w:val="B212D0C8"/>
    <w:lvl w:ilvl="0">
      <w:start w:val="5"/>
      <w:numFmt w:val="lowerLetter"/>
      <w:lvlText w:val="%1)"/>
      <w:lvlJc w:val="left"/>
      <w:pPr>
        <w:tabs>
          <w:tab w:val="num" w:pos="360"/>
        </w:tabs>
        <w:ind w:left="360" w:hanging="360"/>
      </w:pPr>
      <w:rPr>
        <w:rFonts w:cs="Times New Roman"/>
      </w:rPr>
    </w:lvl>
  </w:abstractNum>
  <w:abstractNum w:abstractNumId="33" w15:restartNumberingAfterBreak="0">
    <w:nsid w:val="56C21E53"/>
    <w:multiLevelType w:val="singleLevel"/>
    <w:tmpl w:val="08F4EA64"/>
    <w:lvl w:ilvl="0">
      <w:start w:val="1"/>
      <w:numFmt w:val="lowerLetter"/>
      <w:lvlText w:val="%1)"/>
      <w:lvlJc w:val="left"/>
      <w:pPr>
        <w:tabs>
          <w:tab w:val="num" w:pos="361"/>
        </w:tabs>
        <w:ind w:left="361" w:hanging="360"/>
      </w:pPr>
      <w:rPr>
        <w:rFonts w:cs="Times New Roman" w:hint="default"/>
      </w:rPr>
    </w:lvl>
  </w:abstractNum>
  <w:abstractNum w:abstractNumId="34" w15:restartNumberingAfterBreak="0">
    <w:nsid w:val="59A853C6"/>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5B690B81"/>
    <w:multiLevelType w:val="hybridMultilevel"/>
    <w:tmpl w:val="9E56B7DC"/>
    <w:lvl w:ilvl="0" w:tplc="71DC9D14">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CED4D2B"/>
    <w:multiLevelType w:val="singleLevel"/>
    <w:tmpl w:val="7EDC3E3C"/>
    <w:lvl w:ilvl="0">
      <w:start w:val="1"/>
      <w:numFmt w:val="decimal"/>
      <w:lvlText w:val="(%1)"/>
      <w:lvlJc w:val="left"/>
      <w:pPr>
        <w:tabs>
          <w:tab w:val="num" w:pos="600"/>
        </w:tabs>
        <w:ind w:left="600" w:hanging="600"/>
      </w:pPr>
      <w:rPr>
        <w:rFonts w:cs="Times New Roman" w:hint="default"/>
      </w:rPr>
    </w:lvl>
  </w:abstractNum>
  <w:abstractNum w:abstractNumId="37" w15:restartNumberingAfterBreak="0">
    <w:nsid w:val="63D51D0A"/>
    <w:multiLevelType w:val="singleLevel"/>
    <w:tmpl w:val="04070017"/>
    <w:lvl w:ilvl="0">
      <w:start w:val="1"/>
      <w:numFmt w:val="lowerLetter"/>
      <w:lvlText w:val="%1)"/>
      <w:lvlJc w:val="left"/>
      <w:pPr>
        <w:tabs>
          <w:tab w:val="num" w:pos="360"/>
        </w:tabs>
        <w:ind w:left="360" w:hanging="360"/>
      </w:pPr>
      <w:rPr>
        <w:rFonts w:cs="Times New Roman"/>
      </w:rPr>
    </w:lvl>
  </w:abstractNum>
  <w:abstractNum w:abstractNumId="38" w15:restartNumberingAfterBreak="0">
    <w:nsid w:val="6917694E"/>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6CBE7C4A"/>
    <w:multiLevelType w:val="singleLevel"/>
    <w:tmpl w:val="E906507A"/>
    <w:lvl w:ilvl="0">
      <w:numFmt w:val="bullet"/>
      <w:lvlText w:val="-"/>
      <w:lvlJc w:val="left"/>
      <w:pPr>
        <w:tabs>
          <w:tab w:val="num" w:pos="1429"/>
        </w:tabs>
        <w:ind w:left="1429" w:hanging="720"/>
      </w:pPr>
      <w:rPr>
        <w:rFonts w:ascii="Times New Roman" w:hAnsi="Times New Roman" w:hint="default"/>
      </w:rPr>
    </w:lvl>
  </w:abstractNum>
  <w:abstractNum w:abstractNumId="40" w15:restartNumberingAfterBreak="0">
    <w:nsid w:val="6CFC5E33"/>
    <w:multiLevelType w:val="hybridMultilevel"/>
    <w:tmpl w:val="4688366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1" w15:restartNumberingAfterBreak="0">
    <w:nsid w:val="7AB67965"/>
    <w:multiLevelType w:val="singleLevel"/>
    <w:tmpl w:val="04070017"/>
    <w:lvl w:ilvl="0">
      <w:start w:val="1"/>
      <w:numFmt w:val="lowerLetter"/>
      <w:lvlText w:val="%1)"/>
      <w:lvlJc w:val="left"/>
      <w:pPr>
        <w:tabs>
          <w:tab w:val="num" w:pos="360"/>
        </w:tabs>
        <w:ind w:left="360" w:hanging="360"/>
      </w:pPr>
      <w:rPr>
        <w:rFonts w:cs="Times New Roman"/>
      </w:rPr>
    </w:lvl>
  </w:abstractNum>
  <w:abstractNum w:abstractNumId="42" w15:restartNumberingAfterBreak="0">
    <w:nsid w:val="7C534B52"/>
    <w:multiLevelType w:val="singleLevel"/>
    <w:tmpl w:val="B212D0C8"/>
    <w:lvl w:ilvl="0">
      <w:start w:val="1"/>
      <w:numFmt w:val="lowerLetter"/>
      <w:lvlText w:val="%1)"/>
      <w:lvlJc w:val="left"/>
      <w:pPr>
        <w:tabs>
          <w:tab w:val="num" w:pos="360"/>
        </w:tabs>
        <w:ind w:left="360" w:hanging="360"/>
      </w:pPr>
      <w:rPr>
        <w:rFonts w:cs="Times New Roman" w:hint="default"/>
      </w:rPr>
    </w:lvl>
  </w:abstractNum>
  <w:abstractNum w:abstractNumId="43" w15:restartNumberingAfterBreak="0">
    <w:nsid w:val="7C7C0303"/>
    <w:multiLevelType w:val="singleLevel"/>
    <w:tmpl w:val="527E2B7A"/>
    <w:lvl w:ilvl="0">
      <w:start w:val="2"/>
      <w:numFmt w:val="decimal"/>
      <w:lvlText w:val="%1."/>
      <w:lvlJc w:val="left"/>
      <w:pPr>
        <w:tabs>
          <w:tab w:val="num" w:pos="644"/>
        </w:tabs>
        <w:ind w:left="644" w:hanging="360"/>
      </w:pPr>
      <w:rPr>
        <w:rFonts w:hint="default"/>
      </w:rPr>
    </w:lvl>
  </w:abstractNum>
  <w:abstractNum w:abstractNumId="44" w15:restartNumberingAfterBreak="0">
    <w:nsid w:val="7CFF0AC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45" w15:restartNumberingAfterBreak="0">
    <w:nsid w:val="7E9A3749"/>
    <w:multiLevelType w:val="multilevel"/>
    <w:tmpl w:val="7DC2FBD2"/>
    <w:lvl w:ilvl="0">
      <w:start w:val="2"/>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num w:numId="1" w16cid:durableId="14424082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39449880">
    <w:abstractNumId w:val="6"/>
  </w:num>
  <w:num w:numId="3" w16cid:durableId="1610819757">
    <w:abstractNumId w:val="8"/>
  </w:num>
  <w:num w:numId="4" w16cid:durableId="803935729">
    <w:abstractNumId w:val="45"/>
  </w:num>
  <w:num w:numId="5" w16cid:durableId="750153806">
    <w:abstractNumId w:val="20"/>
  </w:num>
  <w:num w:numId="6" w16cid:durableId="1681352420">
    <w:abstractNumId w:val="2"/>
  </w:num>
  <w:num w:numId="7" w16cid:durableId="46420235">
    <w:abstractNumId w:val="34"/>
  </w:num>
  <w:num w:numId="8" w16cid:durableId="1098453231">
    <w:abstractNumId w:val="26"/>
  </w:num>
  <w:num w:numId="9" w16cid:durableId="1576282810">
    <w:abstractNumId w:val="17"/>
  </w:num>
  <w:num w:numId="10" w16cid:durableId="70273464">
    <w:abstractNumId w:val="38"/>
  </w:num>
  <w:num w:numId="11" w16cid:durableId="794787748">
    <w:abstractNumId w:val="22"/>
  </w:num>
  <w:num w:numId="12" w16cid:durableId="929000582">
    <w:abstractNumId w:val="15"/>
  </w:num>
  <w:num w:numId="13" w16cid:durableId="399720764">
    <w:abstractNumId w:val="31"/>
  </w:num>
  <w:num w:numId="14" w16cid:durableId="23336253">
    <w:abstractNumId w:val="7"/>
  </w:num>
  <w:num w:numId="15" w16cid:durableId="1191844080">
    <w:abstractNumId w:val="12"/>
  </w:num>
  <w:num w:numId="16" w16cid:durableId="1508788421">
    <w:abstractNumId w:val="23"/>
  </w:num>
  <w:num w:numId="17" w16cid:durableId="466049343">
    <w:abstractNumId w:val="37"/>
  </w:num>
  <w:num w:numId="18" w16cid:durableId="1103768190">
    <w:abstractNumId w:val="27"/>
  </w:num>
  <w:num w:numId="19" w16cid:durableId="965433798">
    <w:abstractNumId w:val="25"/>
  </w:num>
  <w:num w:numId="20" w16cid:durableId="802231545">
    <w:abstractNumId w:val="3"/>
  </w:num>
  <w:num w:numId="21" w16cid:durableId="705328685">
    <w:abstractNumId w:val="41"/>
  </w:num>
  <w:num w:numId="22" w16cid:durableId="2050373799">
    <w:abstractNumId w:val="42"/>
  </w:num>
  <w:num w:numId="23" w16cid:durableId="1183669442">
    <w:abstractNumId w:val="32"/>
  </w:num>
  <w:num w:numId="24" w16cid:durableId="800734305">
    <w:abstractNumId w:val="33"/>
  </w:num>
  <w:num w:numId="25" w16cid:durableId="76558187">
    <w:abstractNumId w:val="28"/>
  </w:num>
  <w:num w:numId="26" w16cid:durableId="671185846">
    <w:abstractNumId w:val="11"/>
  </w:num>
  <w:num w:numId="27" w16cid:durableId="755975824">
    <w:abstractNumId w:val="18"/>
  </w:num>
  <w:num w:numId="28" w16cid:durableId="103111608">
    <w:abstractNumId w:val="5"/>
  </w:num>
  <w:num w:numId="29" w16cid:durableId="2137405719">
    <w:abstractNumId w:val="36"/>
  </w:num>
  <w:num w:numId="30" w16cid:durableId="34233643">
    <w:abstractNumId w:val="4"/>
  </w:num>
  <w:num w:numId="31" w16cid:durableId="1339768555">
    <w:abstractNumId w:val="30"/>
  </w:num>
  <w:num w:numId="32" w16cid:durableId="1622420040">
    <w:abstractNumId w:val="1"/>
  </w:num>
  <w:num w:numId="33" w16cid:durableId="369453846">
    <w:abstractNumId w:val="19"/>
  </w:num>
  <w:num w:numId="34" w16cid:durableId="1806850736">
    <w:abstractNumId w:val="44"/>
  </w:num>
  <w:num w:numId="35" w16cid:durableId="1534466608">
    <w:abstractNumId w:val="24"/>
  </w:num>
  <w:num w:numId="36" w16cid:durableId="503321724">
    <w:abstractNumId w:val="39"/>
  </w:num>
  <w:num w:numId="37" w16cid:durableId="391735857">
    <w:abstractNumId w:val="16"/>
  </w:num>
  <w:num w:numId="38" w16cid:durableId="1818839352">
    <w:abstractNumId w:val="21"/>
  </w:num>
  <w:num w:numId="39" w16cid:durableId="908997966">
    <w:abstractNumId w:val="10"/>
  </w:num>
  <w:num w:numId="40" w16cid:durableId="1881478180">
    <w:abstractNumId w:val="13"/>
  </w:num>
  <w:num w:numId="41" w16cid:durableId="1437019011">
    <w:abstractNumId w:val="43"/>
  </w:num>
  <w:num w:numId="42" w16cid:durableId="968125792">
    <w:abstractNumId w:val="35"/>
  </w:num>
  <w:num w:numId="43" w16cid:durableId="173153395">
    <w:abstractNumId w:val="9"/>
  </w:num>
  <w:num w:numId="44" w16cid:durableId="1736275947">
    <w:abstractNumId w:val="40"/>
  </w:num>
  <w:num w:numId="45" w16cid:durableId="523635317">
    <w:abstractNumId w:val="29"/>
  </w:num>
  <w:num w:numId="46" w16cid:durableId="1383866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7B"/>
    <w:rsid w:val="00000FC0"/>
    <w:rsid w:val="00005C91"/>
    <w:rsid w:val="00014C97"/>
    <w:rsid w:val="0001765A"/>
    <w:rsid w:val="00017728"/>
    <w:rsid w:val="000200BB"/>
    <w:rsid w:val="00021961"/>
    <w:rsid w:val="00022E96"/>
    <w:rsid w:val="00027CBD"/>
    <w:rsid w:val="00031384"/>
    <w:rsid w:val="00032164"/>
    <w:rsid w:val="00034B7B"/>
    <w:rsid w:val="00036AF9"/>
    <w:rsid w:val="00036D7A"/>
    <w:rsid w:val="000436AE"/>
    <w:rsid w:val="0005096C"/>
    <w:rsid w:val="00053EBB"/>
    <w:rsid w:val="00055731"/>
    <w:rsid w:val="000619E8"/>
    <w:rsid w:val="000629FC"/>
    <w:rsid w:val="00067954"/>
    <w:rsid w:val="00071A11"/>
    <w:rsid w:val="00076EF3"/>
    <w:rsid w:val="00082DE7"/>
    <w:rsid w:val="00084A67"/>
    <w:rsid w:val="0009288E"/>
    <w:rsid w:val="00093495"/>
    <w:rsid w:val="00096EC1"/>
    <w:rsid w:val="0009747A"/>
    <w:rsid w:val="000977D3"/>
    <w:rsid w:val="00097B3F"/>
    <w:rsid w:val="00097F1D"/>
    <w:rsid w:val="000A0508"/>
    <w:rsid w:val="000A10C7"/>
    <w:rsid w:val="000A7641"/>
    <w:rsid w:val="000A7F9A"/>
    <w:rsid w:val="000B3B07"/>
    <w:rsid w:val="000B643E"/>
    <w:rsid w:val="000B741D"/>
    <w:rsid w:val="000C1236"/>
    <w:rsid w:val="000D25FD"/>
    <w:rsid w:val="000D629C"/>
    <w:rsid w:val="000F05D3"/>
    <w:rsid w:val="000F3524"/>
    <w:rsid w:val="000F3FFF"/>
    <w:rsid w:val="000F5A82"/>
    <w:rsid w:val="00103617"/>
    <w:rsid w:val="001074A9"/>
    <w:rsid w:val="001146BA"/>
    <w:rsid w:val="00115F7D"/>
    <w:rsid w:val="00116606"/>
    <w:rsid w:val="0012076A"/>
    <w:rsid w:val="001248C3"/>
    <w:rsid w:val="00126A92"/>
    <w:rsid w:val="00127FA2"/>
    <w:rsid w:val="0013172A"/>
    <w:rsid w:val="0013262D"/>
    <w:rsid w:val="00133993"/>
    <w:rsid w:val="00136500"/>
    <w:rsid w:val="00136589"/>
    <w:rsid w:val="00140857"/>
    <w:rsid w:val="0014158F"/>
    <w:rsid w:val="00144F78"/>
    <w:rsid w:val="00154549"/>
    <w:rsid w:val="00154EFD"/>
    <w:rsid w:val="00155C31"/>
    <w:rsid w:val="001636E2"/>
    <w:rsid w:val="00164CAE"/>
    <w:rsid w:val="0016720D"/>
    <w:rsid w:val="00167EF1"/>
    <w:rsid w:val="00171491"/>
    <w:rsid w:val="00172C69"/>
    <w:rsid w:val="00174954"/>
    <w:rsid w:val="00175E68"/>
    <w:rsid w:val="0017625A"/>
    <w:rsid w:val="00176CC2"/>
    <w:rsid w:val="00182061"/>
    <w:rsid w:val="00182BA6"/>
    <w:rsid w:val="00184574"/>
    <w:rsid w:val="00184CF2"/>
    <w:rsid w:val="00185ACC"/>
    <w:rsid w:val="0018782B"/>
    <w:rsid w:val="00187F2D"/>
    <w:rsid w:val="001903AE"/>
    <w:rsid w:val="0019149D"/>
    <w:rsid w:val="001931CB"/>
    <w:rsid w:val="0019462F"/>
    <w:rsid w:val="00196AA3"/>
    <w:rsid w:val="001A00A2"/>
    <w:rsid w:val="001A7D40"/>
    <w:rsid w:val="001B2626"/>
    <w:rsid w:val="001B413C"/>
    <w:rsid w:val="001B4852"/>
    <w:rsid w:val="001C430B"/>
    <w:rsid w:val="001C79EB"/>
    <w:rsid w:val="001C7E21"/>
    <w:rsid w:val="001D0DA0"/>
    <w:rsid w:val="001D1370"/>
    <w:rsid w:val="001D15C8"/>
    <w:rsid w:val="001D20CE"/>
    <w:rsid w:val="001D36B9"/>
    <w:rsid w:val="001D3CEF"/>
    <w:rsid w:val="001D515F"/>
    <w:rsid w:val="001D623B"/>
    <w:rsid w:val="001D6741"/>
    <w:rsid w:val="001E4058"/>
    <w:rsid w:val="001E4143"/>
    <w:rsid w:val="001E4E3A"/>
    <w:rsid w:val="001E55D4"/>
    <w:rsid w:val="001E58EA"/>
    <w:rsid w:val="001E64E9"/>
    <w:rsid w:val="001F3F59"/>
    <w:rsid w:val="001F7BD4"/>
    <w:rsid w:val="001F7C98"/>
    <w:rsid w:val="00203D1D"/>
    <w:rsid w:val="00212A58"/>
    <w:rsid w:val="00215072"/>
    <w:rsid w:val="0022597B"/>
    <w:rsid w:val="00230F84"/>
    <w:rsid w:val="00231E64"/>
    <w:rsid w:val="00233384"/>
    <w:rsid w:val="00234864"/>
    <w:rsid w:val="00235DDA"/>
    <w:rsid w:val="002407BD"/>
    <w:rsid w:val="00246B0F"/>
    <w:rsid w:val="002474B9"/>
    <w:rsid w:val="002516A6"/>
    <w:rsid w:val="00251A61"/>
    <w:rsid w:val="00254A8E"/>
    <w:rsid w:val="0025698D"/>
    <w:rsid w:val="002579D5"/>
    <w:rsid w:val="00261520"/>
    <w:rsid w:val="00262735"/>
    <w:rsid w:val="00263BB3"/>
    <w:rsid w:val="00265EEF"/>
    <w:rsid w:val="0027188B"/>
    <w:rsid w:val="00272047"/>
    <w:rsid w:val="00287C6D"/>
    <w:rsid w:val="0029064A"/>
    <w:rsid w:val="002913A0"/>
    <w:rsid w:val="00291C08"/>
    <w:rsid w:val="002929F0"/>
    <w:rsid w:val="0029386D"/>
    <w:rsid w:val="002956DB"/>
    <w:rsid w:val="002A0208"/>
    <w:rsid w:val="002A0212"/>
    <w:rsid w:val="002A18D3"/>
    <w:rsid w:val="002A30E9"/>
    <w:rsid w:val="002A3288"/>
    <w:rsid w:val="002A5ACB"/>
    <w:rsid w:val="002A5D99"/>
    <w:rsid w:val="002B3CCB"/>
    <w:rsid w:val="002B425E"/>
    <w:rsid w:val="002B441B"/>
    <w:rsid w:val="002B4433"/>
    <w:rsid w:val="002B5D11"/>
    <w:rsid w:val="002C01D3"/>
    <w:rsid w:val="002C2373"/>
    <w:rsid w:val="002C2445"/>
    <w:rsid w:val="002C4FD1"/>
    <w:rsid w:val="002C5007"/>
    <w:rsid w:val="002D1D22"/>
    <w:rsid w:val="002D2412"/>
    <w:rsid w:val="002D3910"/>
    <w:rsid w:val="002E0002"/>
    <w:rsid w:val="002F183D"/>
    <w:rsid w:val="002F4030"/>
    <w:rsid w:val="002F677B"/>
    <w:rsid w:val="002F7836"/>
    <w:rsid w:val="00306811"/>
    <w:rsid w:val="00312577"/>
    <w:rsid w:val="0032673F"/>
    <w:rsid w:val="00327C19"/>
    <w:rsid w:val="003308D4"/>
    <w:rsid w:val="0033673B"/>
    <w:rsid w:val="00337B6D"/>
    <w:rsid w:val="00337F64"/>
    <w:rsid w:val="003406E4"/>
    <w:rsid w:val="00343563"/>
    <w:rsid w:val="003549E8"/>
    <w:rsid w:val="00356783"/>
    <w:rsid w:val="003568D8"/>
    <w:rsid w:val="003579B4"/>
    <w:rsid w:val="00360EE0"/>
    <w:rsid w:val="003642F1"/>
    <w:rsid w:val="00365798"/>
    <w:rsid w:val="00365EFA"/>
    <w:rsid w:val="003665A1"/>
    <w:rsid w:val="003665FF"/>
    <w:rsid w:val="00366D0A"/>
    <w:rsid w:val="00371803"/>
    <w:rsid w:val="00376128"/>
    <w:rsid w:val="003804DA"/>
    <w:rsid w:val="00382545"/>
    <w:rsid w:val="003829B8"/>
    <w:rsid w:val="0038471F"/>
    <w:rsid w:val="00394380"/>
    <w:rsid w:val="003A4138"/>
    <w:rsid w:val="003A440D"/>
    <w:rsid w:val="003A5EA1"/>
    <w:rsid w:val="003B0554"/>
    <w:rsid w:val="003B1F09"/>
    <w:rsid w:val="003B239E"/>
    <w:rsid w:val="003C5159"/>
    <w:rsid w:val="003E3E43"/>
    <w:rsid w:val="003F25A5"/>
    <w:rsid w:val="003F260B"/>
    <w:rsid w:val="00400073"/>
    <w:rsid w:val="00401391"/>
    <w:rsid w:val="0040190C"/>
    <w:rsid w:val="00401DDC"/>
    <w:rsid w:val="004030E1"/>
    <w:rsid w:val="00407089"/>
    <w:rsid w:val="00407AB7"/>
    <w:rsid w:val="00417B85"/>
    <w:rsid w:val="00422A24"/>
    <w:rsid w:val="00423337"/>
    <w:rsid w:val="00423E72"/>
    <w:rsid w:val="00424B68"/>
    <w:rsid w:val="0042601A"/>
    <w:rsid w:val="00426AAA"/>
    <w:rsid w:val="0043106B"/>
    <w:rsid w:val="00434D47"/>
    <w:rsid w:val="00442340"/>
    <w:rsid w:val="004435BA"/>
    <w:rsid w:val="004471AE"/>
    <w:rsid w:val="0044744D"/>
    <w:rsid w:val="00447DE7"/>
    <w:rsid w:val="00447E8D"/>
    <w:rsid w:val="00450EBC"/>
    <w:rsid w:val="004571F4"/>
    <w:rsid w:val="004577E8"/>
    <w:rsid w:val="004638C0"/>
    <w:rsid w:val="0047225B"/>
    <w:rsid w:val="00472660"/>
    <w:rsid w:val="004770C9"/>
    <w:rsid w:val="00477700"/>
    <w:rsid w:val="00477DD7"/>
    <w:rsid w:val="004813C1"/>
    <w:rsid w:val="00481D24"/>
    <w:rsid w:val="00483D69"/>
    <w:rsid w:val="00483FD4"/>
    <w:rsid w:val="0048519E"/>
    <w:rsid w:val="004851AC"/>
    <w:rsid w:val="00485D6A"/>
    <w:rsid w:val="004860F3"/>
    <w:rsid w:val="00492B79"/>
    <w:rsid w:val="0049546E"/>
    <w:rsid w:val="00495501"/>
    <w:rsid w:val="00495CB5"/>
    <w:rsid w:val="00496989"/>
    <w:rsid w:val="0049710C"/>
    <w:rsid w:val="00497FD6"/>
    <w:rsid w:val="004A0582"/>
    <w:rsid w:val="004A0AC8"/>
    <w:rsid w:val="004A32C4"/>
    <w:rsid w:val="004A75C8"/>
    <w:rsid w:val="004B142E"/>
    <w:rsid w:val="004B5109"/>
    <w:rsid w:val="004C26EB"/>
    <w:rsid w:val="004C7EA1"/>
    <w:rsid w:val="004D0BAD"/>
    <w:rsid w:val="004D0CBF"/>
    <w:rsid w:val="004D0F75"/>
    <w:rsid w:val="004D3EFF"/>
    <w:rsid w:val="004D48CD"/>
    <w:rsid w:val="004D7F54"/>
    <w:rsid w:val="004E1233"/>
    <w:rsid w:val="004E144C"/>
    <w:rsid w:val="004E5A73"/>
    <w:rsid w:val="004E6C70"/>
    <w:rsid w:val="004E7F47"/>
    <w:rsid w:val="004F711D"/>
    <w:rsid w:val="005016A3"/>
    <w:rsid w:val="00507BB3"/>
    <w:rsid w:val="00515E1C"/>
    <w:rsid w:val="005161A9"/>
    <w:rsid w:val="00520252"/>
    <w:rsid w:val="00520BF4"/>
    <w:rsid w:val="00520D01"/>
    <w:rsid w:val="005219EF"/>
    <w:rsid w:val="00526E73"/>
    <w:rsid w:val="00527059"/>
    <w:rsid w:val="0053162F"/>
    <w:rsid w:val="00531E5E"/>
    <w:rsid w:val="005324A4"/>
    <w:rsid w:val="005332C2"/>
    <w:rsid w:val="005335D4"/>
    <w:rsid w:val="00541AEC"/>
    <w:rsid w:val="00542AF8"/>
    <w:rsid w:val="00543950"/>
    <w:rsid w:val="00546BE6"/>
    <w:rsid w:val="00547519"/>
    <w:rsid w:val="00547AFA"/>
    <w:rsid w:val="00555F23"/>
    <w:rsid w:val="00556A2D"/>
    <w:rsid w:val="00556B64"/>
    <w:rsid w:val="00560F40"/>
    <w:rsid w:val="00565EDB"/>
    <w:rsid w:val="00574FB3"/>
    <w:rsid w:val="0057705F"/>
    <w:rsid w:val="005771CC"/>
    <w:rsid w:val="00581CDD"/>
    <w:rsid w:val="005827AC"/>
    <w:rsid w:val="00582BBA"/>
    <w:rsid w:val="00583E50"/>
    <w:rsid w:val="0058416A"/>
    <w:rsid w:val="005851EA"/>
    <w:rsid w:val="005871FF"/>
    <w:rsid w:val="005879A7"/>
    <w:rsid w:val="0059086C"/>
    <w:rsid w:val="00592546"/>
    <w:rsid w:val="00594EC2"/>
    <w:rsid w:val="005A0C08"/>
    <w:rsid w:val="005B1EAA"/>
    <w:rsid w:val="005B3DE6"/>
    <w:rsid w:val="005C00D9"/>
    <w:rsid w:val="005C29DA"/>
    <w:rsid w:val="005C69C9"/>
    <w:rsid w:val="005D259C"/>
    <w:rsid w:val="005E3267"/>
    <w:rsid w:val="005E40B3"/>
    <w:rsid w:val="005E6461"/>
    <w:rsid w:val="005F1E67"/>
    <w:rsid w:val="005F24D7"/>
    <w:rsid w:val="005F63E2"/>
    <w:rsid w:val="005F7BE4"/>
    <w:rsid w:val="00600FAE"/>
    <w:rsid w:val="0060248E"/>
    <w:rsid w:val="0060603C"/>
    <w:rsid w:val="00611FDE"/>
    <w:rsid w:val="0061517B"/>
    <w:rsid w:val="00640A59"/>
    <w:rsid w:val="00643E56"/>
    <w:rsid w:val="00645798"/>
    <w:rsid w:val="00660FC5"/>
    <w:rsid w:val="006625DB"/>
    <w:rsid w:val="00662A63"/>
    <w:rsid w:val="00666733"/>
    <w:rsid w:val="00673A96"/>
    <w:rsid w:val="0067492C"/>
    <w:rsid w:val="0067631B"/>
    <w:rsid w:val="0068229A"/>
    <w:rsid w:val="00687C74"/>
    <w:rsid w:val="00693BAB"/>
    <w:rsid w:val="00695F7B"/>
    <w:rsid w:val="006A0C04"/>
    <w:rsid w:val="006A5C16"/>
    <w:rsid w:val="006B1089"/>
    <w:rsid w:val="006B4105"/>
    <w:rsid w:val="006B5501"/>
    <w:rsid w:val="006B6531"/>
    <w:rsid w:val="006B7F0E"/>
    <w:rsid w:val="006C5169"/>
    <w:rsid w:val="006C7126"/>
    <w:rsid w:val="006D6A4B"/>
    <w:rsid w:val="006E1432"/>
    <w:rsid w:val="006E1D9C"/>
    <w:rsid w:val="006E3EBB"/>
    <w:rsid w:val="006E57B6"/>
    <w:rsid w:val="006E640C"/>
    <w:rsid w:val="006E751A"/>
    <w:rsid w:val="006E7B29"/>
    <w:rsid w:val="006F1701"/>
    <w:rsid w:val="006F70B8"/>
    <w:rsid w:val="00700D14"/>
    <w:rsid w:val="00707715"/>
    <w:rsid w:val="00711483"/>
    <w:rsid w:val="00713911"/>
    <w:rsid w:val="007148BF"/>
    <w:rsid w:val="00721F82"/>
    <w:rsid w:val="007309A7"/>
    <w:rsid w:val="007310F8"/>
    <w:rsid w:val="00733E43"/>
    <w:rsid w:val="00736BB0"/>
    <w:rsid w:val="0074360D"/>
    <w:rsid w:val="0074686E"/>
    <w:rsid w:val="007476C0"/>
    <w:rsid w:val="00750CDC"/>
    <w:rsid w:val="00751FA3"/>
    <w:rsid w:val="007532A3"/>
    <w:rsid w:val="00754622"/>
    <w:rsid w:val="007551E1"/>
    <w:rsid w:val="00761464"/>
    <w:rsid w:val="00763590"/>
    <w:rsid w:val="00766B8C"/>
    <w:rsid w:val="00770973"/>
    <w:rsid w:val="007725B3"/>
    <w:rsid w:val="007760E9"/>
    <w:rsid w:val="00777D60"/>
    <w:rsid w:val="0078097E"/>
    <w:rsid w:val="00780CC0"/>
    <w:rsid w:val="0078189A"/>
    <w:rsid w:val="00781F1F"/>
    <w:rsid w:val="0079034B"/>
    <w:rsid w:val="00790F5F"/>
    <w:rsid w:val="00791F9E"/>
    <w:rsid w:val="007939BD"/>
    <w:rsid w:val="00795C0E"/>
    <w:rsid w:val="0079774E"/>
    <w:rsid w:val="007A2129"/>
    <w:rsid w:val="007A32B2"/>
    <w:rsid w:val="007A4F3A"/>
    <w:rsid w:val="007A6104"/>
    <w:rsid w:val="007A6393"/>
    <w:rsid w:val="007A6A00"/>
    <w:rsid w:val="007A7851"/>
    <w:rsid w:val="007B2769"/>
    <w:rsid w:val="007B2D71"/>
    <w:rsid w:val="007B5AF7"/>
    <w:rsid w:val="007C08C2"/>
    <w:rsid w:val="007C09BE"/>
    <w:rsid w:val="007C32D0"/>
    <w:rsid w:val="007C3993"/>
    <w:rsid w:val="007C40C6"/>
    <w:rsid w:val="007C54CF"/>
    <w:rsid w:val="007C5503"/>
    <w:rsid w:val="007C6126"/>
    <w:rsid w:val="007D0070"/>
    <w:rsid w:val="007D15DB"/>
    <w:rsid w:val="007D7E74"/>
    <w:rsid w:val="007E0A1C"/>
    <w:rsid w:val="007E4638"/>
    <w:rsid w:val="007E53C8"/>
    <w:rsid w:val="007E55FB"/>
    <w:rsid w:val="007E58E4"/>
    <w:rsid w:val="007E5B5D"/>
    <w:rsid w:val="007E6B5C"/>
    <w:rsid w:val="007E70B3"/>
    <w:rsid w:val="007F4F81"/>
    <w:rsid w:val="0080236B"/>
    <w:rsid w:val="00812D00"/>
    <w:rsid w:val="00815C26"/>
    <w:rsid w:val="0083340A"/>
    <w:rsid w:val="008444D9"/>
    <w:rsid w:val="0084462C"/>
    <w:rsid w:val="00844F7C"/>
    <w:rsid w:val="00856318"/>
    <w:rsid w:val="0086076F"/>
    <w:rsid w:val="0086257F"/>
    <w:rsid w:val="0086289E"/>
    <w:rsid w:val="00870811"/>
    <w:rsid w:val="0087301F"/>
    <w:rsid w:val="00874013"/>
    <w:rsid w:val="0087405F"/>
    <w:rsid w:val="0087598D"/>
    <w:rsid w:val="00875D7E"/>
    <w:rsid w:val="00876702"/>
    <w:rsid w:val="00885093"/>
    <w:rsid w:val="00885B43"/>
    <w:rsid w:val="00887496"/>
    <w:rsid w:val="0089253C"/>
    <w:rsid w:val="00892D4E"/>
    <w:rsid w:val="008A187B"/>
    <w:rsid w:val="008A21CD"/>
    <w:rsid w:val="008B02B1"/>
    <w:rsid w:val="008B1E83"/>
    <w:rsid w:val="008B28B6"/>
    <w:rsid w:val="008B5705"/>
    <w:rsid w:val="008C0A00"/>
    <w:rsid w:val="008C288C"/>
    <w:rsid w:val="008C2AE2"/>
    <w:rsid w:val="008D06D1"/>
    <w:rsid w:val="008D3A15"/>
    <w:rsid w:val="008D4308"/>
    <w:rsid w:val="008D5049"/>
    <w:rsid w:val="008E1657"/>
    <w:rsid w:val="008E1AC2"/>
    <w:rsid w:val="008E2537"/>
    <w:rsid w:val="008E54C0"/>
    <w:rsid w:val="008E6660"/>
    <w:rsid w:val="008E7550"/>
    <w:rsid w:val="008F0F28"/>
    <w:rsid w:val="008F1941"/>
    <w:rsid w:val="008F388B"/>
    <w:rsid w:val="008F70E3"/>
    <w:rsid w:val="0090388A"/>
    <w:rsid w:val="00906A01"/>
    <w:rsid w:val="0092065F"/>
    <w:rsid w:val="009213BA"/>
    <w:rsid w:val="009260DD"/>
    <w:rsid w:val="00926AAB"/>
    <w:rsid w:val="00927753"/>
    <w:rsid w:val="0093387F"/>
    <w:rsid w:val="0094164B"/>
    <w:rsid w:val="00941775"/>
    <w:rsid w:val="00941E36"/>
    <w:rsid w:val="00942FA6"/>
    <w:rsid w:val="0094389E"/>
    <w:rsid w:val="00943A78"/>
    <w:rsid w:val="009448C1"/>
    <w:rsid w:val="00944F1B"/>
    <w:rsid w:val="00952683"/>
    <w:rsid w:val="00952E9A"/>
    <w:rsid w:val="00955648"/>
    <w:rsid w:val="0095568E"/>
    <w:rsid w:val="00963FF3"/>
    <w:rsid w:val="009709EA"/>
    <w:rsid w:val="00970AD3"/>
    <w:rsid w:val="00983077"/>
    <w:rsid w:val="0099133B"/>
    <w:rsid w:val="00992039"/>
    <w:rsid w:val="00992D1A"/>
    <w:rsid w:val="009946B1"/>
    <w:rsid w:val="009A03AE"/>
    <w:rsid w:val="009A0FBB"/>
    <w:rsid w:val="009A307C"/>
    <w:rsid w:val="009A324A"/>
    <w:rsid w:val="009B218F"/>
    <w:rsid w:val="009B313C"/>
    <w:rsid w:val="009B5F83"/>
    <w:rsid w:val="009B63EC"/>
    <w:rsid w:val="009B77B1"/>
    <w:rsid w:val="009C5BFF"/>
    <w:rsid w:val="009C7448"/>
    <w:rsid w:val="009D278A"/>
    <w:rsid w:val="009D4619"/>
    <w:rsid w:val="009D4937"/>
    <w:rsid w:val="009E535E"/>
    <w:rsid w:val="009F1FE7"/>
    <w:rsid w:val="009F4744"/>
    <w:rsid w:val="009F4D53"/>
    <w:rsid w:val="009F4FB4"/>
    <w:rsid w:val="009F6D99"/>
    <w:rsid w:val="009F7674"/>
    <w:rsid w:val="00A02EF2"/>
    <w:rsid w:val="00A05151"/>
    <w:rsid w:val="00A113F2"/>
    <w:rsid w:val="00A12F4A"/>
    <w:rsid w:val="00A154D0"/>
    <w:rsid w:val="00A2405A"/>
    <w:rsid w:val="00A3035B"/>
    <w:rsid w:val="00A358CB"/>
    <w:rsid w:val="00A3707A"/>
    <w:rsid w:val="00A37E8D"/>
    <w:rsid w:val="00A41CE9"/>
    <w:rsid w:val="00A42B73"/>
    <w:rsid w:val="00A504A9"/>
    <w:rsid w:val="00A56D61"/>
    <w:rsid w:val="00A57BD1"/>
    <w:rsid w:val="00A60225"/>
    <w:rsid w:val="00A60B92"/>
    <w:rsid w:val="00A71B35"/>
    <w:rsid w:val="00A71B90"/>
    <w:rsid w:val="00A72F5D"/>
    <w:rsid w:val="00A747C2"/>
    <w:rsid w:val="00A75B17"/>
    <w:rsid w:val="00A774AB"/>
    <w:rsid w:val="00A804C0"/>
    <w:rsid w:val="00A81E14"/>
    <w:rsid w:val="00A8210A"/>
    <w:rsid w:val="00A859A7"/>
    <w:rsid w:val="00A92114"/>
    <w:rsid w:val="00A943CB"/>
    <w:rsid w:val="00A951B8"/>
    <w:rsid w:val="00A9795C"/>
    <w:rsid w:val="00AB3D89"/>
    <w:rsid w:val="00AB45D7"/>
    <w:rsid w:val="00AB4C22"/>
    <w:rsid w:val="00AB51EC"/>
    <w:rsid w:val="00AB6CF4"/>
    <w:rsid w:val="00AC1962"/>
    <w:rsid w:val="00AC259A"/>
    <w:rsid w:val="00AC6EBC"/>
    <w:rsid w:val="00AC768C"/>
    <w:rsid w:val="00AE15E2"/>
    <w:rsid w:val="00AE3445"/>
    <w:rsid w:val="00AF22C3"/>
    <w:rsid w:val="00AF284E"/>
    <w:rsid w:val="00AF5798"/>
    <w:rsid w:val="00AF6020"/>
    <w:rsid w:val="00AF6E32"/>
    <w:rsid w:val="00B01AD0"/>
    <w:rsid w:val="00B027C8"/>
    <w:rsid w:val="00B044AF"/>
    <w:rsid w:val="00B06083"/>
    <w:rsid w:val="00B066AD"/>
    <w:rsid w:val="00B110CD"/>
    <w:rsid w:val="00B1238B"/>
    <w:rsid w:val="00B14F64"/>
    <w:rsid w:val="00B21B9A"/>
    <w:rsid w:val="00B2417F"/>
    <w:rsid w:val="00B251AF"/>
    <w:rsid w:val="00B309D2"/>
    <w:rsid w:val="00B3318E"/>
    <w:rsid w:val="00B345E9"/>
    <w:rsid w:val="00B35CCB"/>
    <w:rsid w:val="00B43206"/>
    <w:rsid w:val="00B4526D"/>
    <w:rsid w:val="00B45FE5"/>
    <w:rsid w:val="00B46DC7"/>
    <w:rsid w:val="00B46F03"/>
    <w:rsid w:val="00B53C00"/>
    <w:rsid w:val="00B60284"/>
    <w:rsid w:val="00B6082C"/>
    <w:rsid w:val="00B62543"/>
    <w:rsid w:val="00B637CA"/>
    <w:rsid w:val="00B677BE"/>
    <w:rsid w:val="00B72DA1"/>
    <w:rsid w:val="00B73C03"/>
    <w:rsid w:val="00B75AE4"/>
    <w:rsid w:val="00B76F46"/>
    <w:rsid w:val="00B82AC2"/>
    <w:rsid w:val="00B83BF0"/>
    <w:rsid w:val="00B84E08"/>
    <w:rsid w:val="00B85EED"/>
    <w:rsid w:val="00B86872"/>
    <w:rsid w:val="00B87595"/>
    <w:rsid w:val="00B91EB6"/>
    <w:rsid w:val="00B922EB"/>
    <w:rsid w:val="00B947D5"/>
    <w:rsid w:val="00B95C27"/>
    <w:rsid w:val="00B96546"/>
    <w:rsid w:val="00B96BD1"/>
    <w:rsid w:val="00BA1316"/>
    <w:rsid w:val="00BA27FE"/>
    <w:rsid w:val="00BA2B70"/>
    <w:rsid w:val="00BA2EFA"/>
    <w:rsid w:val="00BA3F78"/>
    <w:rsid w:val="00BA4612"/>
    <w:rsid w:val="00BB03D6"/>
    <w:rsid w:val="00BB0C99"/>
    <w:rsid w:val="00BB17E2"/>
    <w:rsid w:val="00BB23F3"/>
    <w:rsid w:val="00BB2540"/>
    <w:rsid w:val="00BC03D7"/>
    <w:rsid w:val="00BC05BF"/>
    <w:rsid w:val="00BC2105"/>
    <w:rsid w:val="00BC2569"/>
    <w:rsid w:val="00BC34E1"/>
    <w:rsid w:val="00BC361D"/>
    <w:rsid w:val="00BC7670"/>
    <w:rsid w:val="00BC767D"/>
    <w:rsid w:val="00BD1AFA"/>
    <w:rsid w:val="00BD45D1"/>
    <w:rsid w:val="00BD6BE0"/>
    <w:rsid w:val="00BD72EE"/>
    <w:rsid w:val="00BE0BD4"/>
    <w:rsid w:val="00BE3EA8"/>
    <w:rsid w:val="00BE5DD8"/>
    <w:rsid w:val="00BE6456"/>
    <w:rsid w:val="00BE67AE"/>
    <w:rsid w:val="00BF0220"/>
    <w:rsid w:val="00BF0E03"/>
    <w:rsid w:val="00BF231E"/>
    <w:rsid w:val="00BF2821"/>
    <w:rsid w:val="00BF2DD3"/>
    <w:rsid w:val="00BF3E52"/>
    <w:rsid w:val="00BF3FB7"/>
    <w:rsid w:val="00C00925"/>
    <w:rsid w:val="00C04968"/>
    <w:rsid w:val="00C12072"/>
    <w:rsid w:val="00C13E2A"/>
    <w:rsid w:val="00C26C8F"/>
    <w:rsid w:val="00C33587"/>
    <w:rsid w:val="00C348C6"/>
    <w:rsid w:val="00C46879"/>
    <w:rsid w:val="00C51040"/>
    <w:rsid w:val="00C547BE"/>
    <w:rsid w:val="00C571CC"/>
    <w:rsid w:val="00C61952"/>
    <w:rsid w:val="00C62C43"/>
    <w:rsid w:val="00C6326D"/>
    <w:rsid w:val="00C634C1"/>
    <w:rsid w:val="00C64588"/>
    <w:rsid w:val="00C66D2E"/>
    <w:rsid w:val="00C71A4B"/>
    <w:rsid w:val="00C72BB0"/>
    <w:rsid w:val="00C83CD3"/>
    <w:rsid w:val="00C845A8"/>
    <w:rsid w:val="00C84A19"/>
    <w:rsid w:val="00C85384"/>
    <w:rsid w:val="00C87412"/>
    <w:rsid w:val="00C87AE0"/>
    <w:rsid w:val="00C923EA"/>
    <w:rsid w:val="00C926E4"/>
    <w:rsid w:val="00C96AE1"/>
    <w:rsid w:val="00C977BF"/>
    <w:rsid w:val="00C97E05"/>
    <w:rsid w:val="00CA0B2E"/>
    <w:rsid w:val="00CA1484"/>
    <w:rsid w:val="00CA50E9"/>
    <w:rsid w:val="00CA5D25"/>
    <w:rsid w:val="00CA70F2"/>
    <w:rsid w:val="00CB396E"/>
    <w:rsid w:val="00CB5726"/>
    <w:rsid w:val="00CB70ED"/>
    <w:rsid w:val="00CC485E"/>
    <w:rsid w:val="00CC5EDB"/>
    <w:rsid w:val="00CE243F"/>
    <w:rsid w:val="00CE5951"/>
    <w:rsid w:val="00CE6D28"/>
    <w:rsid w:val="00CE7201"/>
    <w:rsid w:val="00CF057C"/>
    <w:rsid w:val="00CF2740"/>
    <w:rsid w:val="00CF4649"/>
    <w:rsid w:val="00CF6346"/>
    <w:rsid w:val="00CF6451"/>
    <w:rsid w:val="00D0139A"/>
    <w:rsid w:val="00D047EC"/>
    <w:rsid w:val="00D1113B"/>
    <w:rsid w:val="00D11A16"/>
    <w:rsid w:val="00D13813"/>
    <w:rsid w:val="00D143D1"/>
    <w:rsid w:val="00D14E95"/>
    <w:rsid w:val="00D1739C"/>
    <w:rsid w:val="00D17841"/>
    <w:rsid w:val="00D20244"/>
    <w:rsid w:val="00D252FB"/>
    <w:rsid w:val="00D26B76"/>
    <w:rsid w:val="00D31F16"/>
    <w:rsid w:val="00D321B0"/>
    <w:rsid w:val="00D41179"/>
    <w:rsid w:val="00D424A7"/>
    <w:rsid w:val="00D442BF"/>
    <w:rsid w:val="00D45EEC"/>
    <w:rsid w:val="00D47C97"/>
    <w:rsid w:val="00D51D25"/>
    <w:rsid w:val="00D622A6"/>
    <w:rsid w:val="00D62E07"/>
    <w:rsid w:val="00D64B1C"/>
    <w:rsid w:val="00D77758"/>
    <w:rsid w:val="00D82474"/>
    <w:rsid w:val="00D903A2"/>
    <w:rsid w:val="00D91191"/>
    <w:rsid w:val="00D923CA"/>
    <w:rsid w:val="00DA26ED"/>
    <w:rsid w:val="00DA447F"/>
    <w:rsid w:val="00DA73EF"/>
    <w:rsid w:val="00DB4812"/>
    <w:rsid w:val="00DC4FD3"/>
    <w:rsid w:val="00DD0460"/>
    <w:rsid w:val="00DD4158"/>
    <w:rsid w:val="00DD531A"/>
    <w:rsid w:val="00DD639C"/>
    <w:rsid w:val="00DD76E5"/>
    <w:rsid w:val="00DD7C2D"/>
    <w:rsid w:val="00DE129A"/>
    <w:rsid w:val="00DE2065"/>
    <w:rsid w:val="00DE28F4"/>
    <w:rsid w:val="00DE55D9"/>
    <w:rsid w:val="00DE5C86"/>
    <w:rsid w:val="00DE6FBD"/>
    <w:rsid w:val="00DE7CBA"/>
    <w:rsid w:val="00DF335D"/>
    <w:rsid w:val="00DF6699"/>
    <w:rsid w:val="00E05B04"/>
    <w:rsid w:val="00E0639B"/>
    <w:rsid w:val="00E13009"/>
    <w:rsid w:val="00E16742"/>
    <w:rsid w:val="00E25216"/>
    <w:rsid w:val="00E271BB"/>
    <w:rsid w:val="00E27E81"/>
    <w:rsid w:val="00E31CE7"/>
    <w:rsid w:val="00E33839"/>
    <w:rsid w:val="00E34D8D"/>
    <w:rsid w:val="00E35927"/>
    <w:rsid w:val="00E37958"/>
    <w:rsid w:val="00E40724"/>
    <w:rsid w:val="00E43CA9"/>
    <w:rsid w:val="00E44577"/>
    <w:rsid w:val="00E44C73"/>
    <w:rsid w:val="00E44CCC"/>
    <w:rsid w:val="00E45ADB"/>
    <w:rsid w:val="00E50680"/>
    <w:rsid w:val="00E50DF9"/>
    <w:rsid w:val="00E5358B"/>
    <w:rsid w:val="00E5388B"/>
    <w:rsid w:val="00E53E9E"/>
    <w:rsid w:val="00E627B9"/>
    <w:rsid w:val="00E63534"/>
    <w:rsid w:val="00E666E4"/>
    <w:rsid w:val="00E70215"/>
    <w:rsid w:val="00E73FA5"/>
    <w:rsid w:val="00E745B4"/>
    <w:rsid w:val="00E7593E"/>
    <w:rsid w:val="00E779BA"/>
    <w:rsid w:val="00E815DF"/>
    <w:rsid w:val="00E8394E"/>
    <w:rsid w:val="00E84305"/>
    <w:rsid w:val="00E84E92"/>
    <w:rsid w:val="00E865C9"/>
    <w:rsid w:val="00E93242"/>
    <w:rsid w:val="00E96680"/>
    <w:rsid w:val="00EA04F5"/>
    <w:rsid w:val="00EA332B"/>
    <w:rsid w:val="00EA3689"/>
    <w:rsid w:val="00EA397C"/>
    <w:rsid w:val="00EA78D6"/>
    <w:rsid w:val="00EC09C2"/>
    <w:rsid w:val="00EC1471"/>
    <w:rsid w:val="00EC15FD"/>
    <w:rsid w:val="00EC5153"/>
    <w:rsid w:val="00EC75D9"/>
    <w:rsid w:val="00EC7E2C"/>
    <w:rsid w:val="00ED095C"/>
    <w:rsid w:val="00ED11FA"/>
    <w:rsid w:val="00ED5882"/>
    <w:rsid w:val="00ED6CAA"/>
    <w:rsid w:val="00EE3607"/>
    <w:rsid w:val="00EF2378"/>
    <w:rsid w:val="00EF5984"/>
    <w:rsid w:val="00EF630F"/>
    <w:rsid w:val="00EF7531"/>
    <w:rsid w:val="00F0446F"/>
    <w:rsid w:val="00F0617E"/>
    <w:rsid w:val="00F072A4"/>
    <w:rsid w:val="00F12E82"/>
    <w:rsid w:val="00F1594E"/>
    <w:rsid w:val="00F20C4B"/>
    <w:rsid w:val="00F23839"/>
    <w:rsid w:val="00F24A94"/>
    <w:rsid w:val="00F25DD4"/>
    <w:rsid w:val="00F2662D"/>
    <w:rsid w:val="00F32030"/>
    <w:rsid w:val="00F32FA5"/>
    <w:rsid w:val="00F44E06"/>
    <w:rsid w:val="00F56508"/>
    <w:rsid w:val="00F7156C"/>
    <w:rsid w:val="00F73023"/>
    <w:rsid w:val="00F73E09"/>
    <w:rsid w:val="00F75949"/>
    <w:rsid w:val="00F76442"/>
    <w:rsid w:val="00F774A6"/>
    <w:rsid w:val="00F80AC8"/>
    <w:rsid w:val="00F813EC"/>
    <w:rsid w:val="00F81919"/>
    <w:rsid w:val="00F84444"/>
    <w:rsid w:val="00F90781"/>
    <w:rsid w:val="00F909B7"/>
    <w:rsid w:val="00F915AD"/>
    <w:rsid w:val="00F958B4"/>
    <w:rsid w:val="00FA1170"/>
    <w:rsid w:val="00FA2418"/>
    <w:rsid w:val="00FA2886"/>
    <w:rsid w:val="00FA44A0"/>
    <w:rsid w:val="00FA59A9"/>
    <w:rsid w:val="00FA5E0B"/>
    <w:rsid w:val="00FB4BDD"/>
    <w:rsid w:val="00FB694E"/>
    <w:rsid w:val="00FB6CAF"/>
    <w:rsid w:val="00FC0E6C"/>
    <w:rsid w:val="00FC39B8"/>
    <w:rsid w:val="00FC4C59"/>
    <w:rsid w:val="00FD1B25"/>
    <w:rsid w:val="00FD2D98"/>
    <w:rsid w:val="00FD4733"/>
    <w:rsid w:val="00FD5C83"/>
    <w:rsid w:val="00FE0060"/>
    <w:rsid w:val="00FE3BA8"/>
    <w:rsid w:val="00FF0F65"/>
    <w:rsid w:val="00FF1C60"/>
    <w:rsid w:val="00FF3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A58CB4"/>
  <w15:docId w15:val="{CC915F1A-96CE-4C42-AC8B-07836038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7FA2"/>
    <w:pPr>
      <w:spacing w:after="360" w:line="360" w:lineRule="auto"/>
      <w:jc w:val="both"/>
    </w:pPr>
    <w:rPr>
      <w:rFonts w:ascii="Arial" w:hAnsi="Arial"/>
      <w:sz w:val="22"/>
    </w:rPr>
  </w:style>
  <w:style w:type="paragraph" w:styleId="berschrift1">
    <w:name w:val="heading 1"/>
    <w:basedOn w:val="Standard"/>
    <w:next w:val="Standard"/>
    <w:link w:val="berschrift1Zchn"/>
    <w:qFormat/>
    <w:rsid w:val="00C87412"/>
    <w:pPr>
      <w:keepNext/>
      <w:outlineLvl w:val="0"/>
    </w:pPr>
    <w:rPr>
      <w:b/>
    </w:rPr>
  </w:style>
  <w:style w:type="paragraph" w:styleId="berschrift2">
    <w:name w:val="heading 2"/>
    <w:basedOn w:val="Standard"/>
    <w:next w:val="Standard"/>
    <w:qFormat/>
    <w:rsid w:val="00127FA2"/>
    <w:pPr>
      <w:keepNext/>
      <w:ind w:left="284"/>
      <w:jc w:val="left"/>
      <w:outlineLvl w:val="1"/>
    </w:pPr>
    <w:rPr>
      <w:b/>
      <w:sz w:val="23"/>
    </w:rPr>
  </w:style>
  <w:style w:type="paragraph" w:styleId="berschrift3">
    <w:name w:val="heading 3"/>
    <w:basedOn w:val="Standard"/>
    <w:next w:val="Standard"/>
    <w:qFormat/>
    <w:rsid w:val="00127FA2"/>
    <w:pPr>
      <w:keepNext/>
      <w:spacing w:after="0" w:line="240" w:lineRule="auto"/>
      <w:ind w:left="708"/>
      <w:jc w:val="left"/>
      <w:outlineLvl w:val="2"/>
    </w:pPr>
    <w:rPr>
      <w:sz w:val="24"/>
    </w:rPr>
  </w:style>
  <w:style w:type="paragraph" w:styleId="berschrift4">
    <w:name w:val="heading 4"/>
    <w:basedOn w:val="Standard"/>
    <w:next w:val="Standard"/>
    <w:qFormat/>
    <w:rsid w:val="00127FA2"/>
    <w:pPr>
      <w:keepNext/>
      <w:spacing w:after="0" w:line="240" w:lineRule="auto"/>
      <w:ind w:left="1416" w:hanging="708"/>
      <w:jc w:val="lef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
    <w:name w:val="V"/>
    <w:basedOn w:val="Standard"/>
    <w:next w:val="Standard"/>
    <w:rsid w:val="00127FA2"/>
    <w:pPr>
      <w:tabs>
        <w:tab w:val="left" w:pos="993"/>
        <w:tab w:val="left" w:pos="1560"/>
      </w:tabs>
      <w:ind w:hanging="567"/>
    </w:pPr>
  </w:style>
  <w:style w:type="paragraph" w:customStyle="1" w:styleId="BAKred-Standard">
    <w:name w:val="BAKred-Standard"/>
    <w:basedOn w:val="Standard"/>
    <w:rsid w:val="00127FA2"/>
  </w:style>
  <w:style w:type="paragraph" w:styleId="Kopfzeile">
    <w:name w:val="header"/>
    <w:basedOn w:val="Standard"/>
    <w:link w:val="KopfzeileZchn"/>
    <w:rsid w:val="00127FA2"/>
    <w:pPr>
      <w:tabs>
        <w:tab w:val="center" w:pos="4536"/>
        <w:tab w:val="right" w:pos="9072"/>
      </w:tabs>
    </w:pPr>
  </w:style>
  <w:style w:type="paragraph" w:styleId="Fuzeile">
    <w:name w:val="footer"/>
    <w:basedOn w:val="Standard"/>
    <w:link w:val="FuzeileZchn"/>
    <w:rsid w:val="00127FA2"/>
    <w:pPr>
      <w:tabs>
        <w:tab w:val="center" w:pos="4536"/>
        <w:tab w:val="right" w:pos="9072"/>
      </w:tabs>
    </w:pPr>
  </w:style>
  <w:style w:type="character" w:styleId="Seitenzahl">
    <w:name w:val="page number"/>
    <w:rsid w:val="00127FA2"/>
    <w:rPr>
      <w:rFonts w:cs="Times New Roman"/>
    </w:rPr>
  </w:style>
  <w:style w:type="paragraph" w:customStyle="1" w:styleId="StandardBAKred">
    <w:name w:val="Standard BAKred"/>
    <w:basedOn w:val="Standard"/>
    <w:rsid w:val="00127FA2"/>
  </w:style>
  <w:style w:type="paragraph" w:customStyle="1" w:styleId="Paragr-berschr">
    <w:name w:val="Paragr-Überschr"/>
    <w:basedOn w:val="Standard"/>
    <w:rsid w:val="00127FA2"/>
    <w:pPr>
      <w:keepNext/>
      <w:suppressAutoHyphens/>
      <w:spacing w:before="480"/>
      <w:jc w:val="center"/>
    </w:pPr>
    <w:rPr>
      <w:b/>
      <w:sz w:val="24"/>
    </w:rPr>
  </w:style>
  <w:style w:type="paragraph" w:customStyle="1" w:styleId="Bearb-Hinweis">
    <w:name w:val="Bearb-Hinweis"/>
    <w:basedOn w:val="Standard"/>
    <w:rsid w:val="00127FA2"/>
    <w:pPr>
      <w:shd w:val="pct10" w:color="auto" w:fill="auto"/>
      <w:ind w:right="567"/>
    </w:pPr>
  </w:style>
  <w:style w:type="paragraph" w:styleId="Funotentext">
    <w:name w:val="footnote text"/>
    <w:basedOn w:val="Standard"/>
    <w:semiHidden/>
    <w:rsid w:val="00127FA2"/>
    <w:rPr>
      <w:sz w:val="20"/>
    </w:rPr>
  </w:style>
  <w:style w:type="character" w:styleId="Funotenzeichen">
    <w:name w:val="footnote reference"/>
    <w:semiHidden/>
    <w:rsid w:val="00127FA2"/>
    <w:rPr>
      <w:rFonts w:cs="Times New Roman"/>
      <w:vertAlign w:val="superscript"/>
    </w:rPr>
  </w:style>
  <w:style w:type="paragraph" w:customStyle="1" w:styleId="Standard-tm">
    <w:name w:val="Standard-tm"/>
    <w:basedOn w:val="Standard"/>
    <w:rsid w:val="00127FA2"/>
    <w:pPr>
      <w:jc w:val="center"/>
    </w:pPr>
    <w:rPr>
      <w:b/>
    </w:rPr>
  </w:style>
  <w:style w:type="paragraph" w:styleId="Textkrper">
    <w:name w:val="Body Text"/>
    <w:basedOn w:val="Standard"/>
    <w:rsid w:val="00127FA2"/>
    <w:pPr>
      <w:jc w:val="center"/>
    </w:pPr>
  </w:style>
  <w:style w:type="paragraph" w:styleId="Textkrper2">
    <w:name w:val="Body Text 2"/>
    <w:basedOn w:val="Standard"/>
    <w:link w:val="Textkrper2Zchn"/>
    <w:uiPriority w:val="99"/>
    <w:rsid w:val="00127FA2"/>
    <w:pPr>
      <w:spacing w:after="0" w:line="240" w:lineRule="auto"/>
      <w:jc w:val="left"/>
    </w:pPr>
  </w:style>
  <w:style w:type="paragraph" w:styleId="Textkrper-Zeileneinzug">
    <w:name w:val="Body Text Indent"/>
    <w:basedOn w:val="Standard"/>
    <w:rsid w:val="00127FA2"/>
    <w:pPr>
      <w:spacing w:after="0" w:line="240" w:lineRule="auto"/>
      <w:ind w:left="426"/>
      <w:jc w:val="left"/>
    </w:pPr>
  </w:style>
  <w:style w:type="paragraph" w:styleId="Textkrper-Einzug2">
    <w:name w:val="Body Text Indent 2"/>
    <w:basedOn w:val="Standard"/>
    <w:rsid w:val="00127FA2"/>
    <w:pPr>
      <w:spacing w:after="0" w:line="240" w:lineRule="auto"/>
      <w:ind w:left="708" w:hanging="708"/>
      <w:jc w:val="left"/>
    </w:pPr>
    <w:rPr>
      <w:b/>
      <w:sz w:val="24"/>
    </w:rPr>
  </w:style>
  <w:style w:type="paragraph" w:customStyle="1" w:styleId="Einrcken1">
    <w:name w:val="Einrücken 1"/>
    <w:basedOn w:val="Standard"/>
    <w:rsid w:val="00127FA2"/>
    <w:pPr>
      <w:tabs>
        <w:tab w:val="left" w:pos="567"/>
      </w:tabs>
      <w:spacing w:after="120" w:line="240" w:lineRule="auto"/>
      <w:ind w:left="340" w:hanging="340"/>
    </w:pPr>
    <w:rPr>
      <w:rFonts w:ascii="Times New Roman" w:hAnsi="Times New Roman"/>
      <w:sz w:val="20"/>
    </w:rPr>
  </w:style>
  <w:style w:type="paragraph" w:customStyle="1" w:styleId="Einrcken2">
    <w:name w:val="Einrücken 2"/>
    <w:basedOn w:val="Standard"/>
    <w:rsid w:val="00127FA2"/>
    <w:pPr>
      <w:tabs>
        <w:tab w:val="left" w:pos="709"/>
      </w:tabs>
      <w:spacing w:after="120" w:line="240" w:lineRule="auto"/>
      <w:ind w:left="709" w:hanging="340"/>
    </w:pPr>
    <w:rPr>
      <w:rFonts w:ascii="Times New Roman" w:hAnsi="Times New Roman"/>
      <w:sz w:val="20"/>
    </w:rPr>
  </w:style>
  <w:style w:type="paragraph" w:styleId="Sprechblasentext">
    <w:name w:val="Balloon Text"/>
    <w:basedOn w:val="Standard"/>
    <w:semiHidden/>
    <w:rsid w:val="00127FA2"/>
    <w:rPr>
      <w:rFonts w:ascii="Tahoma" w:hAnsi="Tahoma" w:cs="Tahoma"/>
      <w:sz w:val="16"/>
      <w:szCs w:val="16"/>
    </w:rPr>
  </w:style>
  <w:style w:type="character" w:styleId="Kommentarzeichen">
    <w:name w:val="annotation reference"/>
    <w:semiHidden/>
    <w:rsid w:val="00215072"/>
    <w:rPr>
      <w:rFonts w:cs="Times New Roman"/>
      <w:sz w:val="16"/>
      <w:szCs w:val="16"/>
    </w:rPr>
  </w:style>
  <w:style w:type="paragraph" w:styleId="Kommentartext">
    <w:name w:val="annotation text"/>
    <w:basedOn w:val="Standard"/>
    <w:link w:val="KommentartextZchn"/>
    <w:semiHidden/>
    <w:rsid w:val="00215072"/>
    <w:rPr>
      <w:sz w:val="20"/>
    </w:rPr>
  </w:style>
  <w:style w:type="paragraph" w:styleId="Kommentarthema">
    <w:name w:val="annotation subject"/>
    <w:basedOn w:val="Kommentartext"/>
    <w:next w:val="Kommentartext"/>
    <w:semiHidden/>
    <w:rsid w:val="00215072"/>
    <w:rPr>
      <w:b/>
      <w:bCs/>
    </w:rPr>
  </w:style>
  <w:style w:type="character" w:customStyle="1" w:styleId="Textkrper2Zchn">
    <w:name w:val="Textkörper 2 Zchn"/>
    <w:link w:val="Textkrper2"/>
    <w:uiPriority w:val="99"/>
    <w:locked/>
    <w:rsid w:val="00B947D5"/>
    <w:rPr>
      <w:rFonts w:ascii="Arial" w:hAnsi="Arial"/>
      <w:sz w:val="22"/>
    </w:rPr>
  </w:style>
  <w:style w:type="character" w:customStyle="1" w:styleId="KommentartextZchn">
    <w:name w:val="Kommentartext Zchn"/>
    <w:link w:val="Kommentartext"/>
    <w:semiHidden/>
    <w:locked/>
    <w:rsid w:val="00B947D5"/>
    <w:rPr>
      <w:rFonts w:ascii="Arial" w:hAnsi="Arial"/>
    </w:rPr>
  </w:style>
  <w:style w:type="character" w:customStyle="1" w:styleId="berschrift1Zchn">
    <w:name w:val="Überschrift 1 Zchn"/>
    <w:link w:val="berschrift1"/>
    <w:rsid w:val="00C87412"/>
    <w:rPr>
      <w:rFonts w:ascii="Arial" w:hAnsi="Arial"/>
      <w:b/>
      <w:sz w:val="22"/>
    </w:rPr>
  </w:style>
  <w:style w:type="paragraph" w:styleId="Dokumentstruktur">
    <w:name w:val="Document Map"/>
    <w:basedOn w:val="Standard"/>
    <w:link w:val="DokumentstrukturZchn"/>
    <w:rsid w:val="00C87412"/>
    <w:pPr>
      <w:shd w:val="clear" w:color="auto" w:fill="000080"/>
    </w:pPr>
    <w:rPr>
      <w:rFonts w:ascii="Tahoma" w:hAnsi="Tahoma"/>
    </w:rPr>
  </w:style>
  <w:style w:type="character" w:customStyle="1" w:styleId="DokumentstrukturZchn">
    <w:name w:val="Dokumentstruktur Zchn"/>
    <w:link w:val="Dokumentstruktur"/>
    <w:rsid w:val="00C87412"/>
    <w:rPr>
      <w:rFonts w:ascii="Tahoma" w:hAnsi="Tahoma"/>
      <w:sz w:val="22"/>
      <w:shd w:val="clear" w:color="auto" w:fill="000080"/>
    </w:rPr>
  </w:style>
  <w:style w:type="paragraph" w:styleId="Liste">
    <w:name w:val="List"/>
    <w:basedOn w:val="Standard"/>
    <w:rsid w:val="00C87412"/>
    <w:pPr>
      <w:ind w:left="283" w:hanging="283"/>
    </w:pPr>
  </w:style>
  <w:style w:type="paragraph" w:styleId="Liste2">
    <w:name w:val="List 2"/>
    <w:basedOn w:val="Standard"/>
    <w:rsid w:val="00C87412"/>
    <w:pPr>
      <w:ind w:left="566" w:hanging="283"/>
    </w:pPr>
  </w:style>
  <w:style w:type="paragraph" w:styleId="Liste3">
    <w:name w:val="List 3"/>
    <w:basedOn w:val="Standard"/>
    <w:rsid w:val="00C87412"/>
    <w:pPr>
      <w:ind w:left="849" w:hanging="283"/>
    </w:pPr>
  </w:style>
  <w:style w:type="paragraph" w:styleId="Titel">
    <w:name w:val="Title"/>
    <w:basedOn w:val="Standard"/>
    <w:link w:val="TitelZchn"/>
    <w:qFormat/>
    <w:rsid w:val="00C87412"/>
    <w:pPr>
      <w:spacing w:before="240" w:after="60"/>
      <w:jc w:val="center"/>
      <w:outlineLvl w:val="0"/>
    </w:pPr>
    <w:rPr>
      <w:b/>
      <w:kern w:val="28"/>
      <w:sz w:val="32"/>
    </w:rPr>
  </w:style>
  <w:style w:type="character" w:customStyle="1" w:styleId="TitelZchn">
    <w:name w:val="Titel Zchn"/>
    <w:link w:val="Titel"/>
    <w:rsid w:val="00C87412"/>
    <w:rPr>
      <w:rFonts w:ascii="Arial" w:hAnsi="Arial"/>
      <w:b/>
      <w:kern w:val="28"/>
      <w:sz w:val="32"/>
    </w:rPr>
  </w:style>
  <w:style w:type="paragraph" w:styleId="Untertitel">
    <w:name w:val="Subtitle"/>
    <w:basedOn w:val="Standard"/>
    <w:link w:val="UntertitelZchn"/>
    <w:qFormat/>
    <w:rsid w:val="00C87412"/>
    <w:pPr>
      <w:spacing w:after="60"/>
      <w:jc w:val="center"/>
      <w:outlineLvl w:val="1"/>
    </w:pPr>
    <w:rPr>
      <w:sz w:val="24"/>
    </w:rPr>
  </w:style>
  <w:style w:type="character" w:customStyle="1" w:styleId="UntertitelZchn">
    <w:name w:val="Untertitel Zchn"/>
    <w:link w:val="Untertitel"/>
    <w:rsid w:val="00C87412"/>
    <w:rPr>
      <w:rFonts w:ascii="Arial" w:hAnsi="Arial"/>
      <w:sz w:val="24"/>
    </w:rPr>
  </w:style>
  <w:style w:type="paragraph" w:customStyle="1" w:styleId="Default">
    <w:name w:val="Default"/>
    <w:rsid w:val="00C87412"/>
    <w:pPr>
      <w:autoSpaceDE w:val="0"/>
      <w:autoSpaceDN w:val="0"/>
      <w:adjustRightInd w:val="0"/>
    </w:pPr>
    <w:rPr>
      <w:rFonts w:ascii="Arial" w:hAnsi="Arial" w:cs="Arial"/>
      <w:color w:val="000000"/>
      <w:sz w:val="24"/>
      <w:szCs w:val="24"/>
    </w:rPr>
  </w:style>
  <w:style w:type="character" w:customStyle="1" w:styleId="FuzeileZchn">
    <w:name w:val="Fußzeile Zchn"/>
    <w:link w:val="Fuzeile"/>
    <w:rsid w:val="00C87412"/>
    <w:rPr>
      <w:rFonts w:ascii="Arial" w:hAnsi="Arial"/>
      <w:sz w:val="22"/>
    </w:rPr>
  </w:style>
  <w:style w:type="character" w:styleId="Hyperlink">
    <w:name w:val="Hyperlink"/>
    <w:basedOn w:val="Absatz-Standardschriftart"/>
    <w:rsid w:val="006B1089"/>
    <w:rPr>
      <w:color w:val="0000FF"/>
      <w:u w:val="single"/>
    </w:rPr>
  </w:style>
  <w:style w:type="paragraph" w:styleId="Listenabsatz">
    <w:name w:val="List Paragraph"/>
    <w:basedOn w:val="Standard"/>
    <w:uiPriority w:val="34"/>
    <w:qFormat/>
    <w:rsid w:val="00707715"/>
    <w:pPr>
      <w:ind w:left="720"/>
      <w:contextualSpacing/>
    </w:pPr>
  </w:style>
  <w:style w:type="paragraph" w:styleId="NurText">
    <w:name w:val="Plain Text"/>
    <w:basedOn w:val="Standard"/>
    <w:link w:val="NurTextZchn"/>
    <w:uiPriority w:val="99"/>
    <w:unhideWhenUsed/>
    <w:rsid w:val="00B62543"/>
    <w:pPr>
      <w:spacing w:after="0" w:line="240" w:lineRule="auto"/>
      <w:jc w:val="left"/>
    </w:pPr>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B62543"/>
    <w:rPr>
      <w:rFonts w:ascii="Calibri" w:eastAsiaTheme="minorHAnsi" w:hAnsi="Calibri" w:cs="Consolas"/>
      <w:sz w:val="22"/>
      <w:szCs w:val="21"/>
      <w:lang w:eastAsia="en-US"/>
    </w:rPr>
  </w:style>
  <w:style w:type="character" w:customStyle="1" w:styleId="KopfzeileZchn">
    <w:name w:val="Kopfzeile Zchn"/>
    <w:basedOn w:val="Absatz-Standardschriftart"/>
    <w:link w:val="Kopfzeile"/>
    <w:rsid w:val="00360EE0"/>
    <w:rPr>
      <w:rFonts w:ascii="Arial" w:hAnsi="Arial"/>
      <w:sz w:val="22"/>
    </w:rPr>
  </w:style>
  <w:style w:type="paragraph" w:styleId="berarbeitung">
    <w:name w:val="Revision"/>
    <w:hidden/>
    <w:uiPriority w:val="99"/>
    <w:semiHidden/>
    <w:rsid w:val="00360EE0"/>
    <w:rPr>
      <w:rFonts w:ascii="Arial" w:hAnsi="Arial"/>
      <w:sz w:val="22"/>
    </w:rPr>
  </w:style>
  <w:style w:type="paragraph" w:customStyle="1" w:styleId="RevisionJuristischerAbsatzFolgeabsatz">
    <w:name w:val="Revision Juristischer Absatz Folgeabsatz"/>
    <w:basedOn w:val="Standard"/>
    <w:rsid w:val="00144F78"/>
    <w:pPr>
      <w:spacing w:before="60" w:after="60" w:line="240" w:lineRule="auto"/>
    </w:pPr>
    <w:rPr>
      <w:rFonts w:ascii="Times New Roman" w:eastAsiaTheme="minorHAnsi" w:hAnsi="Times New Roman"/>
      <w:color w:val="800000"/>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85">
      <w:bodyDiv w:val="1"/>
      <w:marLeft w:val="0"/>
      <w:marRight w:val="0"/>
      <w:marTop w:val="0"/>
      <w:marBottom w:val="0"/>
      <w:divBdr>
        <w:top w:val="none" w:sz="0" w:space="0" w:color="auto"/>
        <w:left w:val="none" w:sz="0" w:space="0" w:color="auto"/>
        <w:bottom w:val="none" w:sz="0" w:space="0" w:color="auto"/>
        <w:right w:val="none" w:sz="0" w:space="0" w:color="auto"/>
      </w:divBdr>
    </w:div>
    <w:div w:id="153299206">
      <w:bodyDiv w:val="1"/>
      <w:marLeft w:val="0"/>
      <w:marRight w:val="0"/>
      <w:marTop w:val="0"/>
      <w:marBottom w:val="0"/>
      <w:divBdr>
        <w:top w:val="none" w:sz="0" w:space="0" w:color="auto"/>
        <w:left w:val="none" w:sz="0" w:space="0" w:color="auto"/>
        <w:bottom w:val="none" w:sz="0" w:space="0" w:color="auto"/>
        <w:right w:val="none" w:sz="0" w:space="0" w:color="auto"/>
      </w:divBdr>
    </w:div>
    <w:div w:id="613287186">
      <w:bodyDiv w:val="1"/>
      <w:marLeft w:val="0"/>
      <w:marRight w:val="0"/>
      <w:marTop w:val="0"/>
      <w:marBottom w:val="0"/>
      <w:divBdr>
        <w:top w:val="none" w:sz="0" w:space="0" w:color="auto"/>
        <w:left w:val="none" w:sz="0" w:space="0" w:color="auto"/>
        <w:bottom w:val="none" w:sz="0" w:space="0" w:color="auto"/>
        <w:right w:val="none" w:sz="0" w:space="0" w:color="auto"/>
      </w:divBdr>
    </w:div>
    <w:div w:id="1407650675">
      <w:bodyDiv w:val="1"/>
      <w:marLeft w:val="0"/>
      <w:marRight w:val="0"/>
      <w:marTop w:val="0"/>
      <w:marBottom w:val="0"/>
      <w:divBdr>
        <w:top w:val="none" w:sz="0" w:space="0" w:color="auto"/>
        <w:left w:val="none" w:sz="0" w:space="0" w:color="auto"/>
        <w:bottom w:val="none" w:sz="0" w:space="0" w:color="auto"/>
        <w:right w:val="none" w:sz="0" w:space="0" w:color="auto"/>
      </w:divBdr>
    </w:div>
    <w:div w:id="21026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C37B-6EFB-4DB0-8B92-727D79AE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4738</Words>
  <Characters>29855</Characters>
  <Application>Microsoft Office Word</Application>
  <DocSecurity>0</DocSecurity>
  <Lines>248</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OGAW Muster-BAB</vt:lpstr>
      <vt:lpstr>W E R T P A P I E R - S O N D E R V E R M Ö G E N_</vt:lpstr>
    </vt:vector>
  </TitlesOfParts>
  <Company>BVI</Company>
  <LinksUpToDate>false</LinksUpToDate>
  <CharactersWithSpaces>34524</CharactersWithSpaces>
  <SharedDoc>false</SharedDoc>
  <HLinks>
    <vt:vector size="18" baseType="variant">
      <vt:variant>
        <vt:i4>6619263</vt:i4>
      </vt:variant>
      <vt:variant>
        <vt:i4>6</vt:i4>
      </vt:variant>
      <vt:variant>
        <vt:i4>0</vt:i4>
      </vt:variant>
      <vt:variant>
        <vt:i4>5</vt:i4>
      </vt:variant>
      <vt:variant>
        <vt:lpwstr>http://www.auswaertiges-amt.de/cae/servlet/contentblob/373538/publicationFile/185334/Laenderverzeichnis.pdf</vt:lpwstr>
      </vt:variant>
      <vt:variant>
        <vt:lpwstr/>
      </vt:variant>
      <vt:variant>
        <vt:i4>6619263</vt:i4>
      </vt:variant>
      <vt:variant>
        <vt:i4>3</vt:i4>
      </vt:variant>
      <vt:variant>
        <vt:i4>0</vt:i4>
      </vt:variant>
      <vt:variant>
        <vt:i4>5</vt:i4>
      </vt:variant>
      <vt:variant>
        <vt:lpwstr>http://www.auswaertiges-amt.de/cae/servlet/contentblob/373538/publicationFile/185334/Laenderverzeichnis.pdf</vt:lpwstr>
      </vt:variant>
      <vt:variant>
        <vt:lpwstr/>
      </vt:variant>
      <vt:variant>
        <vt:i4>6619263</vt:i4>
      </vt:variant>
      <vt:variant>
        <vt:i4>0</vt:i4>
      </vt:variant>
      <vt:variant>
        <vt:i4>0</vt:i4>
      </vt:variant>
      <vt:variant>
        <vt:i4>5</vt:i4>
      </vt:variant>
      <vt:variant>
        <vt:lpwstr>http://www.auswaertiges-amt.de/cae/servlet/contentblob/373538/publicationFile/185334/Laenderverzeichnis.pdf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OGAW Muster-BAB</dc:title>
  <dc:creator>"Tim Kreutzmann" &lt;Tim.Kreutzmann@bvi.de&gt;</dc:creator>
  <cp:keywords>External Communication</cp:keywords>
  <cp:lastModifiedBy>Tim Kreutzmann</cp:lastModifiedBy>
  <cp:revision>6</cp:revision>
  <cp:lastPrinted>2023-02-15T15:01:00Z</cp:lastPrinted>
  <dcterms:created xsi:type="dcterms:W3CDTF">2024-01-03T10:48:00Z</dcterms:created>
  <dcterms:modified xsi:type="dcterms:W3CDTF">2024-01-09T10:57:00Z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155ff70e-e234-4f5b-aadc-ef153be18031</vt:lpwstr>
  </property>
  <property fmtid="{D5CDD505-2E9C-101B-9397-08002B2CF9AE}" pid="3" name="aliashDocumentMarking">
    <vt:lpwstr>External Communication</vt:lpwstr>
  </property>
  <property fmtid="{D5CDD505-2E9C-101B-9397-08002B2CF9AE}" pid="4" name="db.comClassification">
    <vt:lpwstr>External Communication</vt:lpwstr>
  </property>
</Properties>
</file>